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8"/>
          <w:lang w:val="en-US"/>
        </w:rPr>
      </w:pPr>
      <w:r>
        <w:rPr>
          <w:rFonts w:ascii="Arial" w:hAnsi="Arial" w:cs="Arial"/>
          <w:b/>
          <w:bCs/>
          <w:sz w:val="28"/>
        </w:rPr>
        <w:t>3GPP TSG RAN WG1 #11</w:t>
      </w:r>
      <w:r>
        <w:rPr>
          <w:rFonts w:hint="default" w:ascii="Arial" w:hAnsi="Arial" w:cs="Arial"/>
          <w:b/>
          <w:bCs/>
          <w:sz w:val="28"/>
          <w:lang w:val="en-US"/>
        </w:rPr>
        <w:t>2</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R1-2300977</w:t>
      </w:r>
    </w:p>
    <w:p>
      <w:pPr>
        <w:tabs>
          <w:tab w:val="center" w:pos="4536"/>
          <w:tab w:val="right" w:pos="9072"/>
        </w:tabs>
        <w:rPr>
          <w:rFonts w:ascii="Arial" w:hAnsi="Arial" w:eastAsia="MS Mincho" w:cs="Arial"/>
          <w:b/>
          <w:bCs/>
          <w:sz w:val="28"/>
          <w:lang w:eastAsia="ja-JP"/>
        </w:rPr>
      </w:pPr>
      <w:r>
        <w:rPr>
          <w:rFonts w:hint="eastAsia" w:ascii="Arial" w:hAnsi="Arial" w:eastAsia="MS Mincho" w:cs="Arial"/>
          <w:b/>
          <w:bCs/>
          <w:sz w:val="28"/>
          <w:lang w:eastAsia="ja-JP"/>
        </w:rPr>
        <w:t>Athens, Greece, February 27th – March 3rd, 2023</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SDT procedure related RedCap remaining issues</w:t>
      </w:r>
    </w:p>
    <w:p>
      <w:pPr>
        <w:pStyle w:val="105"/>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8.6</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before="0" w:after="120"/>
        <w:jc w:val="both"/>
        <w:rPr>
          <w:rFonts w:hint="default"/>
          <w:lang w:val="en-US"/>
        </w:rPr>
      </w:pPr>
      <w:r>
        <w:t xml:space="preserve">In </w:t>
      </w:r>
      <w:r>
        <w:rPr>
          <w:rFonts w:eastAsia="Yu Mincho"/>
          <w:bCs/>
          <w:iCs/>
        </w:rPr>
        <w:t>RAN</w:t>
      </w:r>
      <w:r>
        <w:rPr>
          <w:rFonts w:hint="default" w:eastAsia="Yu Mincho"/>
          <w:bCs/>
          <w:iCs/>
          <w:lang w:val="en-US"/>
        </w:rPr>
        <w:t xml:space="preserve">1#111 </w:t>
      </w:r>
      <w:r>
        <w:t xml:space="preserve">meeting, </w:t>
      </w:r>
      <w:r>
        <w:rPr>
          <w:rFonts w:hint="default" w:eastAsia="Microsoft YaHei UI"/>
          <w:color w:val="000000"/>
          <w:lang w:val="en-US" w:eastAsia="zh-CN"/>
        </w:rPr>
        <w:t>the following conclusions about SDT procedure were agreed[1]</w:t>
      </w:r>
      <w: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Times New Roman" w:hAnsi="Times New Roman" w:eastAsia="等线"/>
                <w:u w:val="single"/>
                <w:lang w:val="en-US" w:eastAsia="zh-CN"/>
              </w:rPr>
            </w:pPr>
            <w:r>
              <w:rPr>
                <w:rFonts w:ascii="Times New Roman" w:hAnsi="Times New Roman" w:eastAsia="等线"/>
                <w:u w:val="single"/>
                <w:lang w:val="en-US" w:eastAsia="zh-CN"/>
              </w:rPr>
              <w:t>Conclusion</w:t>
            </w:r>
          </w:p>
          <w:p>
            <w:pPr>
              <w:numPr>
                <w:ilvl w:val="0"/>
                <w:numId w:val="7"/>
              </w:numPr>
              <w:spacing w:after="180" w:line="252" w:lineRule="auto"/>
              <w:contextualSpacing/>
              <w:jc w:val="both"/>
              <w:rPr>
                <w:rFonts w:ascii="Times New Roman" w:hAnsi="Times New Roman" w:eastAsia="等线"/>
                <w:szCs w:val="22"/>
                <w:lang w:val="en-US" w:eastAsia="zh-CN"/>
              </w:rPr>
            </w:pPr>
            <w:r>
              <w:rPr>
                <w:rFonts w:ascii="Times New Roman" w:hAnsi="Times New Roman" w:eastAsia="等线"/>
                <w:szCs w:val="22"/>
                <w:lang w:val="en-US" w:eastAsia="zh-CN"/>
              </w:rPr>
              <w:t>No issue is identified for RedCap UEs supporting RA-SDT to support initial (non-subsequent) RA-SDT transmission in a RedCap-specific separate initial BWP without CD-SSB.</w:t>
            </w:r>
          </w:p>
          <w:p>
            <w:pPr>
              <w:rPr>
                <w:rFonts w:ascii="Times New Roman" w:hAnsi="Times New Roman" w:eastAsia="等线"/>
                <w:szCs w:val="22"/>
                <w:lang w:val="en-US" w:eastAsia="zh-CN"/>
              </w:rPr>
            </w:pPr>
          </w:p>
          <w:p>
            <w:pPr>
              <w:rPr>
                <w:rFonts w:ascii="Times New Roman" w:hAnsi="Times New Roman" w:eastAsia="等线"/>
                <w:szCs w:val="22"/>
                <w:u w:val="single"/>
                <w:lang w:val="en-US" w:eastAsia="zh-CN"/>
              </w:rPr>
            </w:pPr>
            <w:r>
              <w:rPr>
                <w:rFonts w:ascii="Times New Roman" w:hAnsi="Times New Roman" w:eastAsia="等线"/>
                <w:szCs w:val="22"/>
                <w:u w:val="single"/>
                <w:lang w:val="en-US" w:eastAsia="zh-CN"/>
              </w:rPr>
              <w:t>Conclusion</w:t>
            </w:r>
          </w:p>
          <w:p>
            <w:pPr>
              <w:spacing w:after="180" w:line="252" w:lineRule="auto"/>
              <w:contextualSpacing/>
              <w:jc w:val="both"/>
              <w:rPr>
                <w:rFonts w:ascii="Times New Roman" w:hAnsi="Times New Roman" w:eastAsia="等线"/>
                <w:szCs w:val="22"/>
                <w:lang w:val="en-US" w:eastAsia="zh-CN"/>
              </w:rPr>
            </w:pPr>
            <w:r>
              <w:rPr>
                <w:rFonts w:ascii="Times New Roman" w:hAnsi="Times New Roman" w:eastAsia="等线"/>
                <w:szCs w:val="22"/>
                <w:lang w:val="en-US" w:eastAsia="zh-CN"/>
              </w:rPr>
              <w:t>The following cases can be revisited in RAN1#112:</w:t>
            </w:r>
          </w:p>
          <w:p>
            <w:pPr>
              <w:numPr>
                <w:ilvl w:val="0"/>
                <w:numId w:val="7"/>
              </w:numPr>
              <w:spacing w:after="180" w:line="252" w:lineRule="auto"/>
              <w:contextualSpacing/>
              <w:jc w:val="both"/>
              <w:rPr>
                <w:rFonts w:ascii="Times New Roman" w:hAnsi="Times New Roman" w:eastAsia="等线"/>
                <w:szCs w:val="22"/>
                <w:lang w:val="en-US" w:eastAsia="zh-CN"/>
              </w:rPr>
            </w:pPr>
            <w:r>
              <w:rPr>
                <w:rFonts w:ascii="Times New Roman" w:hAnsi="Times New Roman" w:eastAsia="等线"/>
                <w:szCs w:val="22"/>
                <w:lang w:val="en-US" w:eastAsia="zh-CN"/>
              </w:rPr>
              <w:t>Subsequent RA-SDT transmission in a RedCap-specific separate initial BWP without CD-SSB</w:t>
            </w:r>
          </w:p>
          <w:p>
            <w:pPr>
              <w:numPr>
                <w:ilvl w:val="0"/>
                <w:numId w:val="7"/>
              </w:numPr>
              <w:spacing w:after="180" w:line="252" w:lineRule="auto"/>
              <w:contextualSpacing/>
              <w:jc w:val="both"/>
              <w:rPr>
                <w:rFonts w:ascii="Times New Roman" w:hAnsi="Times New Roman"/>
                <w:lang w:eastAsia="zh-CN"/>
              </w:rPr>
            </w:pPr>
            <w:r>
              <w:rPr>
                <w:rFonts w:ascii="Times New Roman" w:hAnsi="Times New Roman" w:eastAsia="等线"/>
                <w:szCs w:val="22"/>
                <w:lang w:val="en-US" w:eastAsia="zh-CN"/>
              </w:rPr>
              <w:t>CG-SDT in a RedCap-specific separate initial BWP without any SSB</w:t>
            </w:r>
          </w:p>
          <w:p>
            <w:pPr>
              <w:numPr>
                <w:ilvl w:val="0"/>
                <w:numId w:val="7"/>
              </w:numPr>
              <w:spacing w:after="180" w:line="252" w:lineRule="auto"/>
              <w:contextualSpacing/>
              <w:jc w:val="both"/>
              <w:rPr>
                <w:rFonts w:ascii="Times New Roman" w:hAnsi="Times New Roman" w:eastAsia="Microsoft YaHei UI"/>
                <w:color w:val="000000"/>
                <w:szCs w:val="20"/>
                <w:lang w:val="en-US" w:eastAsia="zh-CN"/>
              </w:rPr>
            </w:pPr>
            <w:r>
              <w:rPr>
                <w:rFonts w:ascii="Times New Roman" w:hAnsi="Times New Roman" w:eastAsia="等线"/>
                <w:szCs w:val="22"/>
                <w:lang w:val="en-US" w:eastAsia="zh-CN"/>
              </w:rPr>
              <w:t>CG-SDT in a RedCap-specific separate initial BWP without CD-SSB but with NCD-SS</w:t>
            </w:r>
            <w:r>
              <w:rPr>
                <w:rFonts w:hint="default" w:ascii="Times New Roman" w:hAnsi="Times New Roman" w:eastAsia="等线"/>
                <w:szCs w:val="22"/>
                <w:lang w:val="en-US" w:eastAsia="zh-CN"/>
              </w:rPr>
              <w:t>B</w:t>
            </w:r>
          </w:p>
        </w:tc>
      </w:tr>
    </w:tbl>
    <w:p>
      <w:pPr>
        <w:spacing w:beforeLines="50" w:afterLines="50"/>
        <w:jc w:val="both"/>
        <w:rPr>
          <w:lang w:eastAsia="zh-CN"/>
        </w:rPr>
      </w:pPr>
      <w:r>
        <w:rPr>
          <w:lang w:eastAsia="zh-CN"/>
        </w:rPr>
        <w:t xml:space="preserve">In this contribution, </w:t>
      </w:r>
      <w:r>
        <w:rPr>
          <w:rFonts w:hint="default"/>
          <w:lang w:val="en-US" w:eastAsia="zh-CN"/>
        </w:rPr>
        <w:t>we give our considerations on the three cases mentioned in above conclusion and make proposals</w:t>
      </w:r>
      <w:r>
        <w:rPr>
          <w:lang w:eastAsia="zh-CN"/>
        </w:rPr>
        <w:t>.</w:t>
      </w:r>
    </w:p>
    <w:p>
      <w:pPr>
        <w:pStyle w:val="2"/>
        <w:numPr>
          <w:ilvl w:val="0"/>
          <w:numId w:val="6"/>
        </w:numPr>
        <w:ind w:left="0" w:firstLine="0"/>
        <w:jc w:val="both"/>
        <w:rPr>
          <w:lang w:eastAsia="zh-CN"/>
        </w:rPr>
      </w:pPr>
      <w:r>
        <w:rPr>
          <w:rFonts w:hint="default"/>
          <w:lang w:val="en-US" w:eastAsia="zh-CN"/>
        </w:rPr>
        <w:t>Discussion on SDT procedure on separate initial BWP</w:t>
      </w:r>
    </w:p>
    <w:p>
      <w:pPr>
        <w:numPr>
          <w:ilvl w:val="0"/>
          <w:numId w:val="0"/>
        </w:numPr>
        <w:ind w:leftChars="0"/>
        <w:rPr>
          <w:rFonts w:hint="default"/>
          <w:lang w:val="en-US" w:eastAsia="zh-CN"/>
        </w:rPr>
      </w:pPr>
      <w:r>
        <w:rPr>
          <w:rFonts w:hint="default"/>
          <w:lang w:val="en-US" w:eastAsia="zh-CN"/>
        </w:rPr>
        <w:t>In this section, we will provide our considerations on each above issues.</w:t>
      </w:r>
    </w:p>
    <w:p>
      <w:pPr>
        <w:numPr>
          <w:ilvl w:val="0"/>
          <w:numId w:val="8"/>
        </w:numPr>
        <w:ind w:left="420" w:leftChars="0" w:hanging="420" w:firstLineChars="0"/>
        <w:rPr>
          <w:rFonts w:hint="default"/>
          <w:lang w:val="en-US" w:eastAsia="zh-CN"/>
        </w:rPr>
      </w:pPr>
      <w:r>
        <w:rPr>
          <w:rFonts w:ascii="Times New Roman" w:hAnsi="Times New Roman" w:eastAsia="等线"/>
          <w:szCs w:val="22"/>
          <w:lang w:val="en-US" w:eastAsia="zh-CN"/>
        </w:rPr>
        <w:t>Subsequent RA-SDT transmission in a RedCap-specific separate initial BWP without CD-SSB</w:t>
      </w:r>
    </w:p>
    <w:p>
      <w:pPr>
        <w:spacing w:beforeLines="50" w:after="120"/>
        <w:jc w:val="both"/>
        <w:rPr>
          <w:rFonts w:hint="default" w:eastAsia="等线"/>
          <w:szCs w:val="22"/>
          <w:lang w:val="en-US" w:eastAsia="zh-CN"/>
        </w:rPr>
      </w:pPr>
      <w:r>
        <w:rPr>
          <w:rFonts w:hint="default"/>
          <w:sz w:val="20"/>
          <w:szCs w:val="24"/>
          <w:lang w:val="en-US" w:eastAsia="zh-CN"/>
        </w:rPr>
        <w:t xml:space="preserve">For subsequent transmission, if the number of subsequent transmissions is limited, this can be supported. In this case, gNB can avoid scheduling subsequent transmissions during POs and their related SSB measurement occasions, and UE monitors POs in initial BWP with CD-SSB and switches to </w:t>
      </w:r>
      <w:r>
        <w:rPr>
          <w:rFonts w:ascii="Times New Roman" w:hAnsi="Times New Roman" w:eastAsia="等线"/>
          <w:szCs w:val="22"/>
          <w:lang w:val="en-US" w:eastAsia="zh-CN"/>
        </w:rPr>
        <w:t>separate initial BWP without CD-SSB</w:t>
      </w:r>
      <w:r>
        <w:rPr>
          <w:rFonts w:hint="default" w:eastAsia="等线"/>
          <w:szCs w:val="22"/>
          <w:lang w:val="en-US" w:eastAsia="zh-CN"/>
        </w:rPr>
        <w:t xml:space="preserve"> for subsequent RA-SDT scheduling. When the BSR indicates large amount of data for subsequent transmission, gNB will trigger RRC-resume for UE to finish the subsequent transmission. </w:t>
      </w:r>
    </w:p>
    <w:p>
      <w:pPr>
        <w:spacing w:beforeLines="50" w:after="120"/>
        <w:jc w:val="both"/>
        <w:rPr>
          <w:rFonts w:hint="default" w:eastAsia="等线"/>
          <w:szCs w:val="22"/>
          <w:lang w:val="en-US" w:eastAsia="zh-CN"/>
        </w:rPr>
      </w:pPr>
      <w:r>
        <w:rPr>
          <w:rFonts w:hint="default" w:eastAsia="等线"/>
          <w:szCs w:val="22"/>
          <w:lang w:val="en-US" w:eastAsia="zh-CN"/>
        </w:rPr>
        <w:t>So we think subsequent RA-SDT transmission in a RedCap-specific separate initial BWP without CD-SSB can be supported without specification impact, based on gNB implementation. We are also OK to make this an optional capability for RedCap UE.</w:t>
      </w:r>
    </w:p>
    <w:p>
      <w:pPr>
        <w:spacing w:beforeLines="50" w:after="120"/>
        <w:jc w:val="both"/>
        <w:rPr>
          <w:rFonts w:hint="default" w:eastAsia="等线"/>
          <w:b/>
          <w:bCs/>
          <w:szCs w:val="22"/>
          <w:lang w:val="en-US" w:eastAsia="zh-CN"/>
        </w:rPr>
      </w:pPr>
      <w:r>
        <w:rPr>
          <w:rFonts w:hint="default" w:eastAsia="等线"/>
          <w:b/>
          <w:bCs/>
          <w:szCs w:val="22"/>
          <w:lang w:val="en-US" w:eastAsia="zh-CN"/>
        </w:rPr>
        <w:t>Proposal 1: Subsequent RA-SDT transmission in a RedCap-specific separate initial BWP without CD-SSB can be supported without specification impact, based on gNB implementation.</w:t>
      </w:r>
    </w:p>
    <w:p>
      <w:pPr>
        <w:numPr>
          <w:numId w:val="0"/>
        </w:numPr>
        <w:ind w:leftChars="0"/>
        <w:rPr>
          <w:rFonts w:hint="default" w:ascii="Times New Roman" w:hAnsi="Times New Roman" w:eastAsia="等线"/>
          <w:szCs w:val="22"/>
          <w:lang w:val="en-US" w:eastAsia="zh-CN"/>
        </w:rPr>
      </w:pPr>
    </w:p>
    <w:p>
      <w:pPr>
        <w:numPr>
          <w:ilvl w:val="0"/>
          <w:numId w:val="8"/>
        </w:numPr>
        <w:ind w:left="420" w:leftChars="0" w:hanging="420" w:firstLineChars="0"/>
        <w:rPr>
          <w:rFonts w:ascii="Times New Roman" w:hAnsi="Times New Roman" w:eastAsia="等线"/>
          <w:szCs w:val="22"/>
          <w:lang w:val="en-US" w:eastAsia="zh-CN"/>
        </w:rPr>
      </w:pPr>
      <w:r>
        <w:rPr>
          <w:rFonts w:ascii="Times New Roman" w:hAnsi="Times New Roman" w:eastAsia="等线"/>
          <w:szCs w:val="22"/>
          <w:lang w:val="en-US" w:eastAsia="zh-CN"/>
        </w:rPr>
        <w:t>CG-SDT in a RedCap-specific separate initial BWP without any SSB</w:t>
      </w:r>
    </w:p>
    <w:p>
      <w:pPr>
        <w:numPr>
          <w:numId w:val="0"/>
        </w:numPr>
        <w:ind w:leftChars="0"/>
        <w:rPr>
          <w:rFonts w:hint="default" w:eastAsia="等线"/>
          <w:szCs w:val="22"/>
          <w:lang w:val="en-US" w:eastAsia="zh-CN"/>
        </w:rPr>
      </w:pPr>
      <w:r>
        <w:rPr>
          <w:rFonts w:hint="default" w:eastAsia="等线"/>
          <w:szCs w:val="22"/>
          <w:lang w:val="en-US" w:eastAsia="zh-CN"/>
        </w:rPr>
        <w:t xml:space="preserve">During RAN2#120, three options were discussed without consensus, </w:t>
      </w:r>
    </w:p>
    <w:p>
      <w:pPr>
        <w:pStyle w:val="44"/>
        <w:numPr>
          <w:ilvl w:val="0"/>
          <w:numId w:val="9"/>
        </w:numPr>
        <w:spacing w:before="0" w:beforeAutospacing="0" w:after="0" w:afterAutospacing="0"/>
        <w:ind w:left="840" w:leftChars="0" w:hanging="420" w:firstLineChars="0"/>
        <w:rPr>
          <w:rFonts w:hint="default" w:ascii="Times New Roman" w:hAnsi="Times New Roman" w:eastAsia="等线" w:cs="Times New Roman"/>
          <w:sz w:val="20"/>
          <w:szCs w:val="22"/>
          <w:lang w:val="en-US" w:eastAsia="zh-CN" w:bidi="ar-SA"/>
        </w:rPr>
      </w:pPr>
      <w:r>
        <w:rPr>
          <w:rFonts w:hint="default" w:ascii="Times New Roman" w:hAnsi="Times New Roman" w:eastAsia="等线" w:cs="Times New Roman"/>
          <w:sz w:val="20"/>
          <w:szCs w:val="22"/>
          <w:lang w:val="en-US" w:eastAsia="zh-CN" w:bidi="ar-SA"/>
        </w:rPr>
        <w:t>Option 1: For CG-SDT purpose, RAN2 has basic assumption that CD-SSB will be configured in initial BWP with CG-SDT. </w:t>
      </w:r>
    </w:p>
    <w:p>
      <w:pPr>
        <w:pStyle w:val="44"/>
        <w:numPr>
          <w:ilvl w:val="0"/>
          <w:numId w:val="9"/>
        </w:numPr>
        <w:spacing w:before="0" w:beforeAutospacing="0" w:after="0" w:afterAutospacing="0"/>
        <w:ind w:left="840" w:leftChars="0" w:hanging="420" w:firstLineChars="0"/>
        <w:rPr>
          <w:rFonts w:hint="default" w:ascii="Times New Roman" w:hAnsi="Times New Roman" w:eastAsia="等线" w:cs="Times New Roman"/>
          <w:sz w:val="20"/>
          <w:szCs w:val="22"/>
          <w:lang w:val="en-US" w:eastAsia="zh-CN" w:bidi="ar-SA"/>
        </w:rPr>
      </w:pPr>
      <w:r>
        <w:rPr>
          <w:rFonts w:hint="default" w:ascii="Times New Roman" w:hAnsi="Times New Roman" w:eastAsia="等线" w:cs="Times New Roman"/>
          <w:sz w:val="20"/>
          <w:szCs w:val="22"/>
          <w:lang w:val="en-US" w:eastAsia="zh-CN" w:bidi="ar-SA"/>
        </w:rPr>
        <w:t xml:space="preserve">Option 2: For CG-SDT purpose, RAN2 has basic assumption that NCD-SSB will be configured in initial BWP with CG-SDT.   </w:t>
      </w:r>
    </w:p>
    <w:p>
      <w:pPr>
        <w:pStyle w:val="44"/>
        <w:numPr>
          <w:ilvl w:val="0"/>
          <w:numId w:val="9"/>
        </w:numPr>
        <w:spacing w:before="0" w:beforeAutospacing="0" w:after="0" w:afterAutospacing="0"/>
        <w:ind w:left="840" w:leftChars="0" w:hanging="420" w:firstLineChars="0"/>
        <w:rPr>
          <w:rFonts w:hint="default" w:ascii="Times New Roman" w:hAnsi="Times New Roman" w:eastAsia="等线" w:cs="Times New Roman"/>
          <w:sz w:val="20"/>
          <w:szCs w:val="22"/>
          <w:lang w:val="en-US" w:eastAsia="zh-CN" w:bidi="ar-SA"/>
        </w:rPr>
      </w:pPr>
      <w:r>
        <w:rPr>
          <w:rFonts w:hint="default" w:ascii="Times New Roman" w:hAnsi="Times New Roman" w:eastAsia="等线" w:cs="Times New Roman"/>
          <w:sz w:val="20"/>
          <w:szCs w:val="22"/>
          <w:lang w:val="en-US" w:eastAsia="zh-CN" w:bidi="ar-SA"/>
        </w:rPr>
        <w:t>Option 3: Allow CG-SDT on an initial BWP without SSB and it is up to UE implementation how to handle this scenario (potentially with separate UE capability)</w:t>
      </w:r>
    </w:p>
    <w:p>
      <w:pPr>
        <w:rPr>
          <w:rFonts w:hint="default" w:eastAsia="等线"/>
          <w:szCs w:val="22"/>
          <w:lang w:val="en-US" w:eastAsia="zh-CN"/>
        </w:rPr>
      </w:pPr>
      <w:r>
        <w:rPr>
          <w:rFonts w:hint="default" w:eastAsia="等线"/>
          <w:szCs w:val="22"/>
          <w:lang w:val="en-US" w:eastAsia="zh-CN"/>
        </w:rPr>
        <w:t xml:space="preserve">For option 1, it means CG-SDT is not supported when there is no CD-SSB in RedCap-specific initial DL BWP. Since </w:t>
      </w:r>
      <w:r>
        <w:rPr>
          <w:rFonts w:hint="eastAsia" w:eastAsiaTheme="minorEastAsia"/>
          <w:lang w:val="en-US" w:eastAsia="zh-CN"/>
        </w:rPr>
        <w:t>UE needs to monitor SSBs for SSB to CG PUSCH mapping and TA validation</w:t>
      </w:r>
      <w:r>
        <w:rPr>
          <w:rFonts w:hint="default" w:eastAsiaTheme="minorEastAsia"/>
          <w:lang w:val="en-US" w:eastAsia="zh-CN"/>
        </w:rPr>
        <w:t>, only supporting CG-SDT in initial BWP with CD-SSB can avoid BWP switching complexity due to SSB measurement and save UE power.</w:t>
      </w:r>
    </w:p>
    <w:p>
      <w:pPr>
        <w:rPr>
          <w:rFonts w:hint="default"/>
          <w:lang w:val="en-US"/>
        </w:rPr>
      </w:pPr>
      <w:r>
        <w:rPr>
          <w:rFonts w:hint="default" w:eastAsia="等线"/>
          <w:szCs w:val="22"/>
          <w:lang w:val="en-US" w:eastAsia="zh-CN"/>
        </w:rPr>
        <w:t xml:space="preserve">For option 2, currently, NCD-SSB is configured in </w:t>
      </w:r>
      <w:r>
        <w:rPr>
          <w:rFonts w:hint="eastAsia" w:eastAsia="等线"/>
          <w:i/>
          <w:iCs/>
          <w:szCs w:val="22"/>
          <w:lang w:val="en-US" w:eastAsia="zh-CN"/>
        </w:rPr>
        <w:t>BWP-DownlinkDedicated</w:t>
      </w:r>
      <w:r>
        <w:rPr>
          <w:rFonts w:hint="default" w:eastAsia="等线"/>
          <w:szCs w:val="22"/>
          <w:lang w:val="en-US" w:eastAsia="zh-CN"/>
        </w:rPr>
        <w:t xml:space="preserve">, there will be no NCD-SSB for RRC INACTIVE UEs, so this can not be supported without specification impact. We have concern about the SSB overhead for configuring NCD-SSB for RRC INACTIVE UEs. As proposed by some companies, if the NCD-SSB is informed to UE by </w:t>
      </w:r>
      <w:r>
        <w:t>RRCRelease messag</w:t>
      </w:r>
      <w:r>
        <w:rPr>
          <w:rFonts w:hint="default"/>
          <w:lang w:val="en-US"/>
        </w:rPr>
        <w:t>e, gNB has to keep the NCD-SSB available even when the connected UEs with NCD-SSB have moved away or have been released. So we don’t support option 2.</w:t>
      </w:r>
    </w:p>
    <w:p>
      <w:pPr>
        <w:rPr>
          <w:rFonts w:hint="default"/>
          <w:lang w:val="en-US"/>
        </w:rPr>
      </w:pPr>
      <w:r>
        <w:rPr>
          <w:rFonts w:hint="default"/>
          <w:lang w:val="en-US"/>
        </w:rPr>
        <w:t>For option 3, similar to RA-SDT, we can accept this.</w:t>
      </w:r>
    </w:p>
    <w:p>
      <w:pPr>
        <w:rPr>
          <w:rFonts w:hint="default"/>
          <w:lang w:val="en-US" w:eastAsia="zh-CN"/>
        </w:rPr>
      </w:pPr>
      <w:r>
        <w:rPr>
          <w:rFonts w:hint="default"/>
          <w:lang w:val="en-US" w:eastAsia="zh-CN"/>
        </w:rPr>
        <w:t>Our first preference is option 3 and we can also accept option 1.</w:t>
      </w:r>
    </w:p>
    <w:p>
      <w:pPr>
        <w:numPr>
          <w:numId w:val="0"/>
        </w:numPr>
        <w:ind w:leftChars="0"/>
        <w:rPr>
          <w:rFonts w:hint="default" w:eastAsia="等线"/>
          <w:b/>
          <w:bCs/>
          <w:szCs w:val="22"/>
          <w:lang w:val="en-US" w:eastAsia="zh-CN"/>
        </w:rPr>
      </w:pPr>
      <w:r>
        <w:rPr>
          <w:rFonts w:hint="default" w:eastAsia="等线"/>
          <w:b/>
          <w:bCs/>
          <w:szCs w:val="22"/>
          <w:lang w:val="en-US" w:eastAsia="zh-CN"/>
        </w:rPr>
        <w:t>Proposal 2: The following options can be considered for supporting of CG-SDT,</w:t>
      </w:r>
    </w:p>
    <w:p>
      <w:pPr>
        <w:numPr>
          <w:ilvl w:val="0"/>
          <w:numId w:val="9"/>
        </w:numPr>
        <w:ind w:left="840" w:leftChars="0" w:hanging="420" w:firstLineChars="0"/>
        <w:rPr>
          <w:rFonts w:hint="default" w:ascii="Times New Roman" w:hAnsi="Times New Roman" w:eastAsia="等线"/>
          <w:b/>
          <w:bCs/>
          <w:szCs w:val="22"/>
          <w:lang w:val="en-US" w:eastAsia="zh-CN"/>
        </w:rPr>
      </w:pPr>
      <w:r>
        <w:rPr>
          <w:rFonts w:hint="default" w:eastAsia="等线"/>
          <w:b/>
          <w:bCs/>
          <w:szCs w:val="22"/>
          <w:lang w:val="en-US" w:eastAsia="zh-CN"/>
        </w:rPr>
        <w:t xml:space="preserve"> Allow CG-SDT on an initial BWP without SSB and it is up to UE implementation how to handle this scenario (potentially with separate UE capability)</w:t>
      </w:r>
    </w:p>
    <w:p>
      <w:pPr>
        <w:numPr>
          <w:ilvl w:val="0"/>
          <w:numId w:val="9"/>
        </w:numPr>
        <w:ind w:left="840" w:leftChars="0" w:hanging="420" w:firstLineChars="0"/>
        <w:rPr>
          <w:rFonts w:hint="default" w:eastAsia="等线"/>
          <w:b/>
          <w:bCs/>
          <w:szCs w:val="22"/>
          <w:lang w:val="en-US" w:eastAsia="zh-CN"/>
        </w:rPr>
      </w:pPr>
      <w:r>
        <w:rPr>
          <w:rFonts w:hint="default" w:eastAsia="等线"/>
          <w:b/>
          <w:bCs/>
          <w:szCs w:val="22"/>
          <w:lang w:val="en-US" w:eastAsia="zh-CN"/>
        </w:rPr>
        <w:t xml:space="preserve"> CG-SDT is not configured in RedCap-specific initial DL BWP without CD-SSB </w:t>
      </w:r>
    </w:p>
    <w:p>
      <w:pPr>
        <w:numPr>
          <w:numId w:val="0"/>
        </w:numPr>
        <w:ind w:leftChars="0"/>
        <w:rPr>
          <w:rFonts w:ascii="Times New Roman" w:hAnsi="Times New Roman" w:eastAsia="等线"/>
          <w:szCs w:val="22"/>
          <w:lang w:val="en-US" w:eastAsia="zh-CN"/>
        </w:rPr>
      </w:pPr>
    </w:p>
    <w:p>
      <w:pPr>
        <w:numPr>
          <w:ilvl w:val="0"/>
          <w:numId w:val="8"/>
        </w:numPr>
        <w:ind w:left="420" w:leftChars="0" w:hanging="420" w:firstLineChars="0"/>
        <w:rPr>
          <w:rFonts w:hint="default"/>
          <w:lang w:val="en-US" w:eastAsia="zh-CN"/>
        </w:rPr>
      </w:pPr>
      <w:r>
        <w:rPr>
          <w:rFonts w:ascii="Times New Roman" w:hAnsi="Times New Roman" w:eastAsia="等线"/>
          <w:szCs w:val="22"/>
          <w:lang w:val="en-US" w:eastAsia="zh-CN"/>
        </w:rPr>
        <w:t>CG-SDT in a RedCap-specific separate initial BWP without CD-SSB but with NCD-SS</w:t>
      </w:r>
      <w:r>
        <w:rPr>
          <w:rFonts w:hint="default" w:eastAsia="等线"/>
          <w:szCs w:val="22"/>
          <w:lang w:val="en-US" w:eastAsia="zh-CN"/>
        </w:rPr>
        <w:t>B</w:t>
      </w:r>
    </w:p>
    <w:p>
      <w:pPr>
        <w:rPr>
          <w:rFonts w:hint="default"/>
          <w:lang w:val="en-US" w:eastAsia="zh-CN"/>
        </w:rPr>
      </w:pPr>
      <w:r>
        <w:rPr>
          <w:rFonts w:hint="default"/>
          <w:lang w:val="en-US" w:eastAsia="zh-CN"/>
        </w:rPr>
        <w:t xml:space="preserve">As analyzed for the second issue, this case is not supported by current specification. And we don’t support to configure NCD-SSB for RRC INACTVE UEs, since you can not guarantee that there are always RRC connected UEs configured with NCD-SSB. Once gNB has informed a UE </w:t>
      </w:r>
      <w:r>
        <w:rPr>
          <w:rFonts w:hint="default" w:eastAsia="等线"/>
          <w:szCs w:val="22"/>
          <w:lang w:val="en-US" w:eastAsia="zh-CN"/>
        </w:rPr>
        <w:t xml:space="preserve">the NCD-SSB by </w:t>
      </w:r>
      <w:r>
        <w:t>RRCRelease messag</w:t>
      </w:r>
      <w:r>
        <w:rPr>
          <w:rFonts w:hint="default"/>
          <w:lang w:val="en-US"/>
        </w:rPr>
        <w:t>e, the UE will expect NCD-SSB until RRC state changes, this will cause additional network overhead when gNB no longer needs to provide NCD-SSB for connected UEs on this separate initial DL BWP.</w:t>
      </w:r>
    </w:p>
    <w:p>
      <w:pPr>
        <w:numPr>
          <w:numId w:val="0"/>
        </w:numPr>
        <w:ind w:leftChars="0"/>
        <w:rPr>
          <w:rFonts w:hint="default" w:eastAsia="Times New Roman"/>
          <w:b/>
          <w:bCs/>
          <w:sz w:val="20"/>
          <w:szCs w:val="24"/>
          <w:lang w:val="en-US" w:eastAsia="zh-CN"/>
        </w:rPr>
      </w:pPr>
      <w:r>
        <w:rPr>
          <w:rFonts w:hint="default" w:eastAsia="Times New Roman"/>
          <w:b/>
          <w:bCs/>
          <w:sz w:val="20"/>
          <w:szCs w:val="24"/>
          <w:lang w:val="en-US" w:eastAsia="zh-CN"/>
        </w:rPr>
        <w:t>Proposal 3: Do not support the case that CG-SDT in a RedCap-specific separate initial BWP without CD-SSB but with NCD-SSB.</w:t>
      </w:r>
    </w:p>
    <w:p>
      <w:pPr>
        <w:pStyle w:val="2"/>
        <w:numPr>
          <w:ilvl w:val="0"/>
          <w:numId w:val="6"/>
        </w:numPr>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jc w:val="both"/>
        <w:rPr>
          <w:szCs w:val="21"/>
          <w:lang w:eastAsia="zh-CN"/>
        </w:rPr>
      </w:pPr>
      <w:r>
        <w:rPr>
          <w:szCs w:val="21"/>
        </w:rPr>
        <w:t xml:space="preserve">In this contribution, </w:t>
      </w:r>
      <w:r>
        <w:rPr>
          <w:rFonts w:hint="default"/>
          <w:szCs w:val="21"/>
          <w:lang w:val="en-US"/>
        </w:rPr>
        <w:t xml:space="preserve">we discuss the SDT related remaining issues for RedCap UEs, </w:t>
      </w:r>
      <w:r>
        <w:rPr>
          <w:szCs w:val="21"/>
          <w:lang w:eastAsia="zh-CN"/>
        </w:rPr>
        <w:t>and the following</w:t>
      </w:r>
      <w:r>
        <w:rPr>
          <w:rFonts w:hint="eastAsia"/>
          <w:szCs w:val="21"/>
          <w:lang w:eastAsia="zh-CN"/>
        </w:rPr>
        <w:t xml:space="preserve"> </w:t>
      </w:r>
      <w:r>
        <w:rPr>
          <w:szCs w:val="21"/>
          <w:lang w:eastAsia="zh-CN"/>
        </w:rPr>
        <w:t>proposals are made.</w:t>
      </w:r>
    </w:p>
    <w:p>
      <w:pPr>
        <w:spacing w:beforeLines="50" w:after="120"/>
        <w:jc w:val="both"/>
        <w:rPr>
          <w:rFonts w:hint="default" w:eastAsia="等线"/>
          <w:b/>
          <w:bCs/>
          <w:szCs w:val="22"/>
          <w:lang w:val="en-US" w:eastAsia="zh-CN"/>
        </w:rPr>
      </w:pPr>
      <w:r>
        <w:rPr>
          <w:rFonts w:hint="default" w:eastAsia="等线"/>
          <w:b/>
          <w:bCs/>
          <w:szCs w:val="22"/>
          <w:lang w:val="en-US" w:eastAsia="zh-CN"/>
        </w:rPr>
        <w:t>Proposal 1: Subsequent RA-SDT transmission in a RedCap-specific separate initial BWP without CD-SSB can be supported without specification impact, based on gNB implementation.</w:t>
      </w:r>
    </w:p>
    <w:p>
      <w:pPr>
        <w:numPr>
          <w:ilvl w:val="0"/>
          <w:numId w:val="0"/>
        </w:numPr>
        <w:ind w:leftChars="0"/>
        <w:rPr>
          <w:rFonts w:hint="default" w:eastAsia="等线"/>
          <w:b/>
          <w:bCs/>
          <w:szCs w:val="22"/>
          <w:lang w:val="en-US" w:eastAsia="zh-CN"/>
        </w:rPr>
      </w:pPr>
      <w:r>
        <w:rPr>
          <w:rFonts w:hint="default" w:eastAsia="等线"/>
          <w:b/>
          <w:bCs/>
          <w:szCs w:val="22"/>
          <w:lang w:val="en-US" w:eastAsia="zh-CN"/>
        </w:rPr>
        <w:t>Proposal 2: The following options can be considered for supporting of CG-SDT,</w:t>
      </w:r>
    </w:p>
    <w:p>
      <w:pPr>
        <w:numPr>
          <w:ilvl w:val="0"/>
          <w:numId w:val="9"/>
        </w:numPr>
        <w:ind w:left="840" w:leftChars="0" w:hanging="420" w:firstLineChars="0"/>
        <w:rPr>
          <w:rFonts w:hint="default" w:ascii="Times New Roman" w:hAnsi="Times New Roman" w:eastAsia="等线"/>
          <w:b/>
          <w:bCs/>
          <w:szCs w:val="22"/>
          <w:lang w:val="en-US" w:eastAsia="zh-CN"/>
        </w:rPr>
      </w:pPr>
      <w:r>
        <w:rPr>
          <w:rFonts w:hint="default" w:eastAsia="等线"/>
          <w:b/>
          <w:bCs/>
          <w:szCs w:val="22"/>
          <w:lang w:val="en-US" w:eastAsia="zh-CN"/>
        </w:rPr>
        <w:t xml:space="preserve"> Allow CG-SDT on an initial BWP without SSB and it is up to UE implementation how to handle this scenario (potentially with separate UE capability)</w:t>
      </w:r>
    </w:p>
    <w:p>
      <w:pPr>
        <w:numPr>
          <w:ilvl w:val="0"/>
          <w:numId w:val="9"/>
        </w:numPr>
        <w:ind w:left="840" w:leftChars="0" w:hanging="420" w:firstLineChars="0"/>
        <w:rPr>
          <w:rFonts w:hint="default" w:eastAsia="等线"/>
          <w:b/>
          <w:bCs/>
          <w:szCs w:val="22"/>
          <w:lang w:val="en-US" w:eastAsia="zh-CN"/>
        </w:rPr>
      </w:pPr>
      <w:r>
        <w:rPr>
          <w:rFonts w:hint="default" w:eastAsia="等线"/>
          <w:b/>
          <w:bCs/>
          <w:szCs w:val="22"/>
          <w:lang w:val="en-US" w:eastAsia="zh-CN"/>
        </w:rPr>
        <w:t xml:space="preserve"> CG-SDT is not configured in RedCap-specific initial DL BWP without CD-SSB </w:t>
      </w:r>
    </w:p>
    <w:p>
      <w:pPr>
        <w:numPr>
          <w:ilvl w:val="0"/>
          <w:numId w:val="0"/>
        </w:numPr>
        <w:ind w:leftChars="0"/>
        <w:rPr>
          <w:rFonts w:hint="default" w:eastAsia="Times New Roman"/>
          <w:b/>
          <w:bCs/>
          <w:sz w:val="20"/>
          <w:szCs w:val="24"/>
          <w:lang w:val="en-US" w:eastAsia="zh-CN"/>
        </w:rPr>
      </w:pPr>
      <w:r>
        <w:rPr>
          <w:rFonts w:hint="default" w:eastAsia="Times New Roman"/>
          <w:b/>
          <w:bCs/>
          <w:sz w:val="20"/>
          <w:szCs w:val="24"/>
          <w:lang w:val="en-US" w:eastAsia="zh-CN"/>
        </w:rPr>
        <w:t>Proposal 3: Do not support the case that CG-SDT in a RedCap-specific separate initial BWP without CD-SSB but with NCD-SSB.</w:t>
      </w:r>
    </w:p>
    <w:p>
      <w:pPr>
        <w:spacing w:after="180" w:line="233" w:lineRule="atLeast"/>
        <w:rPr>
          <w:rFonts w:hint="default" w:eastAsiaTheme="minorEastAsia"/>
          <w:b/>
          <w:bCs/>
          <w:lang w:val="en-US" w:eastAsia="zh-CN"/>
        </w:rPr>
      </w:pPr>
      <w:bookmarkStart w:id="5" w:name="_GoBack"/>
      <w:bookmarkEnd w:id="5"/>
    </w:p>
    <w:p>
      <w:pPr>
        <w:pStyle w:val="2"/>
        <w:numPr>
          <w:ilvl w:val="0"/>
          <w:numId w:val="6"/>
        </w:numPr>
        <w:ind w:left="0" w:firstLine="0"/>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10"/>
        </w:numPr>
        <w:snapToGrid w:val="0"/>
        <w:spacing w:before="120"/>
        <w:rPr>
          <w:rFonts w:cstheme="minorBidi"/>
          <w:iCs/>
          <w:szCs w:val="22"/>
          <w:lang w:eastAsia="zh-CN"/>
        </w:rPr>
      </w:pPr>
      <w:r>
        <w:rPr>
          <w:rFonts w:ascii="Times New Roman" w:hAnsi="Times New Roman"/>
          <w:sz w:val="20"/>
          <w:lang w:val="en-US"/>
        </w:rPr>
        <w:t>Draft Report of 3GPP TSG RAN WG1 #111 v0.2.0</w:t>
      </w:r>
      <w:r>
        <w:rPr>
          <w:rFonts w:hint="default" w:ascii="Times New Roman" w:hAnsi="Times New Roman"/>
          <w:sz w:val="20"/>
          <w:lang w:val="en-US"/>
        </w:rPr>
        <w:t>.</w:t>
      </w:r>
    </w:p>
    <w:p>
      <w:pPr>
        <w:numPr>
          <w:ilvl w:val="0"/>
          <w:numId w:val="10"/>
        </w:numPr>
        <w:snapToGrid w:val="0"/>
        <w:spacing w:before="120"/>
        <w:rPr>
          <w:rFonts w:ascii="Times New Roman" w:hAnsi="Times New Roman"/>
          <w:sz w:val="20"/>
          <w:lang w:val="en-US" w:eastAsia="zh-CN"/>
        </w:rPr>
      </w:pPr>
      <w:r>
        <w:rPr>
          <w:rFonts w:ascii="Times New Roman" w:hAnsi="Times New Roman"/>
          <w:sz w:val="20"/>
          <w:lang w:val="en-US" w:eastAsia="en-US"/>
        </w:rPr>
        <w:t>R2-2213022</w:t>
      </w:r>
      <w:r>
        <w:rPr>
          <w:rFonts w:hint="default" w:ascii="Times New Roman" w:hAnsi="Times New Roman"/>
          <w:sz w:val="20"/>
          <w:lang w:val="en-US" w:eastAsia="en-US"/>
        </w:rPr>
        <w:t>,</w:t>
      </w:r>
      <w:r>
        <w:rPr>
          <w:rFonts w:ascii="Times New Roman" w:hAnsi="Times New Roman"/>
          <w:sz w:val="20"/>
          <w:lang w:val="en-US"/>
        </w:rPr>
        <w:t>Offline discussion 109 summary (SDT on REDCAP BWP without SSB)</w:t>
      </w:r>
      <w:r>
        <w:rPr>
          <w:rFonts w:hint="default" w:ascii="Times New Roman" w:hAnsi="Times New Roman"/>
          <w:sz w:val="20"/>
          <w:lang w:val="en-US"/>
        </w:rPr>
        <w:t xml:space="preserve">, </w:t>
      </w:r>
      <w:r>
        <w:rPr>
          <w:rFonts w:ascii="Times New Roman" w:hAnsi="Times New Roman"/>
          <w:sz w:val="20"/>
          <w:lang w:val="en-US"/>
        </w:rPr>
        <w:t>ZTE Corporation (offline moderator)</w:t>
      </w:r>
      <w:r>
        <w:rPr>
          <w:rFonts w:hint="default" w:ascii="Times New Roman" w:hAnsi="Times New Roman"/>
          <w:sz w:val="20"/>
          <w:lang w:val="en-US"/>
        </w:rPr>
        <w:t>.</w:t>
      </w:r>
    </w:p>
    <w:sectPr>
      <w:headerReference r:id="rId4" w:type="even"/>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CourierNewPSMT">
    <w:altName w:val="宋体"/>
    <w:panose1 w:val="00000000000000000000"/>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D3DD5"/>
    <w:multiLevelType w:val="singleLevel"/>
    <w:tmpl w:val="89BD3DD5"/>
    <w:lvl w:ilvl="0" w:tentative="0">
      <w:start w:val="1"/>
      <w:numFmt w:val="bullet"/>
      <w:lvlText w:val=""/>
      <w:lvlJc w:val="left"/>
      <w:pPr>
        <w:ind w:left="420" w:hanging="420"/>
      </w:pPr>
      <w:rPr>
        <w:rFonts w:hint="default" w:ascii="Wingdings" w:hAnsi="Wingdings"/>
      </w:rPr>
    </w:lvl>
  </w:abstractNum>
  <w:abstractNum w:abstractNumId="1">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394BBDE6"/>
    <w:multiLevelType w:val="singleLevel"/>
    <w:tmpl w:val="394BBDE6"/>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6">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7">
    <w:nsid w:val="45E073DE"/>
    <w:multiLevelType w:val="multilevel"/>
    <w:tmpl w:val="45E073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9"/>
  </w:num>
  <w:num w:numId="4">
    <w:abstractNumId w:val="8"/>
  </w:num>
  <w:num w:numId="5">
    <w:abstractNumId w:val="6"/>
    <w:lvlOverride w:ilvl="0">
      <w:startOverride w:val="1"/>
    </w:lvlOverride>
  </w:num>
  <w:num w:numId="6">
    <w:abstractNumId w:val="1"/>
  </w:num>
  <w:num w:numId="7">
    <w:abstractNumId w:val="7"/>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284"/>
  <w:hyphenationZone w:val="425"/>
  <w:doNotHyphenateCaps/>
  <w:drawingGridHorizontalSpacing w:val="100"/>
  <w:drawingGridVerticalSpacing w:val="120"/>
  <w:displayHorizontalDrawingGridEvery w:val="0"/>
  <w:displayVerticalDrawingGridEvery w:val="2"/>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8D"/>
    <w:rsid w:val="000010F6"/>
    <w:rsid w:val="00001ABD"/>
    <w:rsid w:val="00001B8D"/>
    <w:rsid w:val="00001B9A"/>
    <w:rsid w:val="00001ED1"/>
    <w:rsid w:val="000022B8"/>
    <w:rsid w:val="00002325"/>
    <w:rsid w:val="0000234E"/>
    <w:rsid w:val="00002571"/>
    <w:rsid w:val="000029D7"/>
    <w:rsid w:val="00002D15"/>
    <w:rsid w:val="00002E0F"/>
    <w:rsid w:val="000030EB"/>
    <w:rsid w:val="000035F6"/>
    <w:rsid w:val="000040C6"/>
    <w:rsid w:val="0000411A"/>
    <w:rsid w:val="00004192"/>
    <w:rsid w:val="00004351"/>
    <w:rsid w:val="00004511"/>
    <w:rsid w:val="00004796"/>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B94"/>
    <w:rsid w:val="00006E55"/>
    <w:rsid w:val="00006EA3"/>
    <w:rsid w:val="00007012"/>
    <w:rsid w:val="000079F7"/>
    <w:rsid w:val="00007C4C"/>
    <w:rsid w:val="00007E66"/>
    <w:rsid w:val="00010038"/>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ADD"/>
    <w:rsid w:val="00026B07"/>
    <w:rsid w:val="00026B80"/>
    <w:rsid w:val="0002764E"/>
    <w:rsid w:val="00027751"/>
    <w:rsid w:val="00027BD7"/>
    <w:rsid w:val="00027F10"/>
    <w:rsid w:val="000303C3"/>
    <w:rsid w:val="000303D4"/>
    <w:rsid w:val="000304E9"/>
    <w:rsid w:val="000307DA"/>
    <w:rsid w:val="00030F54"/>
    <w:rsid w:val="00031130"/>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062"/>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1A4"/>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B4"/>
    <w:rsid w:val="000704DB"/>
    <w:rsid w:val="000707E7"/>
    <w:rsid w:val="00070961"/>
    <w:rsid w:val="00070BD2"/>
    <w:rsid w:val="00070C42"/>
    <w:rsid w:val="00071791"/>
    <w:rsid w:val="00071D98"/>
    <w:rsid w:val="00071DF7"/>
    <w:rsid w:val="00072005"/>
    <w:rsid w:val="00072615"/>
    <w:rsid w:val="00072755"/>
    <w:rsid w:val="00072A2F"/>
    <w:rsid w:val="00072E13"/>
    <w:rsid w:val="00073125"/>
    <w:rsid w:val="00073340"/>
    <w:rsid w:val="0007338E"/>
    <w:rsid w:val="00073448"/>
    <w:rsid w:val="0007425F"/>
    <w:rsid w:val="0007436C"/>
    <w:rsid w:val="000743C5"/>
    <w:rsid w:val="00074423"/>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3E24"/>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60"/>
    <w:rsid w:val="000969B5"/>
    <w:rsid w:val="00096FDB"/>
    <w:rsid w:val="000976B9"/>
    <w:rsid w:val="00097898"/>
    <w:rsid w:val="000978D8"/>
    <w:rsid w:val="00097CD4"/>
    <w:rsid w:val="00097E74"/>
    <w:rsid w:val="000A012D"/>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4E"/>
    <w:rsid w:val="000B006E"/>
    <w:rsid w:val="000B01FA"/>
    <w:rsid w:val="000B05C4"/>
    <w:rsid w:val="000B098D"/>
    <w:rsid w:val="000B0AEC"/>
    <w:rsid w:val="000B0CC8"/>
    <w:rsid w:val="000B0E31"/>
    <w:rsid w:val="000B0F83"/>
    <w:rsid w:val="000B152D"/>
    <w:rsid w:val="000B18A6"/>
    <w:rsid w:val="000B193F"/>
    <w:rsid w:val="000B19BE"/>
    <w:rsid w:val="000B1E65"/>
    <w:rsid w:val="000B2553"/>
    <w:rsid w:val="000B2BFA"/>
    <w:rsid w:val="000B2E1C"/>
    <w:rsid w:val="000B2F6C"/>
    <w:rsid w:val="000B3673"/>
    <w:rsid w:val="000B36BC"/>
    <w:rsid w:val="000B381B"/>
    <w:rsid w:val="000B3928"/>
    <w:rsid w:val="000B3C84"/>
    <w:rsid w:val="000B3EAB"/>
    <w:rsid w:val="000B4163"/>
    <w:rsid w:val="000B4181"/>
    <w:rsid w:val="000B4232"/>
    <w:rsid w:val="000B434A"/>
    <w:rsid w:val="000B451D"/>
    <w:rsid w:val="000B45CF"/>
    <w:rsid w:val="000B4B8A"/>
    <w:rsid w:val="000B4BA1"/>
    <w:rsid w:val="000B4E17"/>
    <w:rsid w:val="000B50BE"/>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234"/>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5EA6"/>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BF7"/>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378"/>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00"/>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54"/>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463"/>
    <w:rsid w:val="00125120"/>
    <w:rsid w:val="00125382"/>
    <w:rsid w:val="0012542E"/>
    <w:rsid w:val="00125486"/>
    <w:rsid w:val="001254FB"/>
    <w:rsid w:val="00125773"/>
    <w:rsid w:val="001259EB"/>
    <w:rsid w:val="00125A67"/>
    <w:rsid w:val="00125BB0"/>
    <w:rsid w:val="0012601B"/>
    <w:rsid w:val="00126282"/>
    <w:rsid w:val="001265C2"/>
    <w:rsid w:val="001268EA"/>
    <w:rsid w:val="00126A51"/>
    <w:rsid w:val="00126C15"/>
    <w:rsid w:val="00126E0C"/>
    <w:rsid w:val="00126FE6"/>
    <w:rsid w:val="00127058"/>
    <w:rsid w:val="00127176"/>
    <w:rsid w:val="001273DB"/>
    <w:rsid w:val="001273DD"/>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91C"/>
    <w:rsid w:val="001436C9"/>
    <w:rsid w:val="00143CE3"/>
    <w:rsid w:val="00143D6A"/>
    <w:rsid w:val="00144013"/>
    <w:rsid w:val="00144381"/>
    <w:rsid w:val="001445CC"/>
    <w:rsid w:val="00144B25"/>
    <w:rsid w:val="00144E1E"/>
    <w:rsid w:val="00144E53"/>
    <w:rsid w:val="0014506C"/>
    <w:rsid w:val="00145312"/>
    <w:rsid w:val="00145B8A"/>
    <w:rsid w:val="00145BEF"/>
    <w:rsid w:val="00145F8D"/>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ED2"/>
    <w:rsid w:val="00151FF3"/>
    <w:rsid w:val="00152226"/>
    <w:rsid w:val="0015279F"/>
    <w:rsid w:val="00152FD5"/>
    <w:rsid w:val="0015317A"/>
    <w:rsid w:val="001535CD"/>
    <w:rsid w:val="00153C6E"/>
    <w:rsid w:val="00153F78"/>
    <w:rsid w:val="00153FEF"/>
    <w:rsid w:val="00154206"/>
    <w:rsid w:val="00154349"/>
    <w:rsid w:val="00154CA4"/>
    <w:rsid w:val="001554FC"/>
    <w:rsid w:val="00155675"/>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04F9"/>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7CC"/>
    <w:rsid w:val="00167884"/>
    <w:rsid w:val="00167B69"/>
    <w:rsid w:val="00170A7C"/>
    <w:rsid w:val="00171291"/>
    <w:rsid w:val="00171308"/>
    <w:rsid w:val="00171752"/>
    <w:rsid w:val="00171C3B"/>
    <w:rsid w:val="00171D20"/>
    <w:rsid w:val="0017201B"/>
    <w:rsid w:val="00172236"/>
    <w:rsid w:val="001728A1"/>
    <w:rsid w:val="001728B4"/>
    <w:rsid w:val="00172A27"/>
    <w:rsid w:val="00172C86"/>
    <w:rsid w:val="00173304"/>
    <w:rsid w:val="00173356"/>
    <w:rsid w:val="001734C9"/>
    <w:rsid w:val="00173B0B"/>
    <w:rsid w:val="00173C14"/>
    <w:rsid w:val="00173D52"/>
    <w:rsid w:val="001740DD"/>
    <w:rsid w:val="00174463"/>
    <w:rsid w:val="00174557"/>
    <w:rsid w:val="001749C6"/>
    <w:rsid w:val="00174CAB"/>
    <w:rsid w:val="00174D8E"/>
    <w:rsid w:val="00174F2E"/>
    <w:rsid w:val="001750A9"/>
    <w:rsid w:val="001752C4"/>
    <w:rsid w:val="00175988"/>
    <w:rsid w:val="00176433"/>
    <w:rsid w:val="00176D3B"/>
    <w:rsid w:val="00176E4B"/>
    <w:rsid w:val="00176F07"/>
    <w:rsid w:val="00176F84"/>
    <w:rsid w:val="00177180"/>
    <w:rsid w:val="001776EE"/>
    <w:rsid w:val="00177C6D"/>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55A"/>
    <w:rsid w:val="001936C5"/>
    <w:rsid w:val="00193A6B"/>
    <w:rsid w:val="00193DB0"/>
    <w:rsid w:val="001943B9"/>
    <w:rsid w:val="001945BF"/>
    <w:rsid w:val="0019464E"/>
    <w:rsid w:val="0019467F"/>
    <w:rsid w:val="00194771"/>
    <w:rsid w:val="00195639"/>
    <w:rsid w:val="00195AE6"/>
    <w:rsid w:val="00195B0B"/>
    <w:rsid w:val="00195B11"/>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66C"/>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02C"/>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151"/>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567"/>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8C9"/>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F"/>
    <w:rsid w:val="002022AC"/>
    <w:rsid w:val="00202A44"/>
    <w:rsid w:val="00203243"/>
    <w:rsid w:val="0020400D"/>
    <w:rsid w:val="0020406E"/>
    <w:rsid w:val="002042AE"/>
    <w:rsid w:val="002046ED"/>
    <w:rsid w:val="00204C28"/>
    <w:rsid w:val="002057AF"/>
    <w:rsid w:val="00205997"/>
    <w:rsid w:val="00205C45"/>
    <w:rsid w:val="0020621D"/>
    <w:rsid w:val="0020645D"/>
    <w:rsid w:val="0020645E"/>
    <w:rsid w:val="002065BD"/>
    <w:rsid w:val="00206871"/>
    <w:rsid w:val="00206DB2"/>
    <w:rsid w:val="00206E24"/>
    <w:rsid w:val="00206F8D"/>
    <w:rsid w:val="00206FB2"/>
    <w:rsid w:val="00206FEA"/>
    <w:rsid w:val="002072A7"/>
    <w:rsid w:val="002074A6"/>
    <w:rsid w:val="00207860"/>
    <w:rsid w:val="00207AA3"/>
    <w:rsid w:val="00207B6A"/>
    <w:rsid w:val="00207DA7"/>
    <w:rsid w:val="0021025B"/>
    <w:rsid w:val="00210371"/>
    <w:rsid w:val="00210EC6"/>
    <w:rsid w:val="002111F5"/>
    <w:rsid w:val="0021122C"/>
    <w:rsid w:val="002112A3"/>
    <w:rsid w:val="002113E7"/>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5CD"/>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D5B"/>
    <w:rsid w:val="00231FDE"/>
    <w:rsid w:val="0023203C"/>
    <w:rsid w:val="0023282E"/>
    <w:rsid w:val="00232B6D"/>
    <w:rsid w:val="00232D16"/>
    <w:rsid w:val="00232DA4"/>
    <w:rsid w:val="002331E8"/>
    <w:rsid w:val="002331FB"/>
    <w:rsid w:val="002333FA"/>
    <w:rsid w:val="002338CB"/>
    <w:rsid w:val="002339AE"/>
    <w:rsid w:val="002339F7"/>
    <w:rsid w:val="00234736"/>
    <w:rsid w:val="002347BE"/>
    <w:rsid w:val="002348EC"/>
    <w:rsid w:val="00234B71"/>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07"/>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39"/>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30A"/>
    <w:rsid w:val="00284B2F"/>
    <w:rsid w:val="00284D5F"/>
    <w:rsid w:val="00284E0C"/>
    <w:rsid w:val="00284FC1"/>
    <w:rsid w:val="0028513A"/>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3A00"/>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F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742"/>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2D7C"/>
    <w:rsid w:val="002E2EE9"/>
    <w:rsid w:val="002E3027"/>
    <w:rsid w:val="002E32E5"/>
    <w:rsid w:val="002E349B"/>
    <w:rsid w:val="002E3F36"/>
    <w:rsid w:val="002E43A0"/>
    <w:rsid w:val="002E482B"/>
    <w:rsid w:val="002E4903"/>
    <w:rsid w:val="002E4CF7"/>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1C"/>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142"/>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0B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5B3"/>
    <w:rsid w:val="00313752"/>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12B8"/>
    <w:rsid w:val="003217B8"/>
    <w:rsid w:val="00322547"/>
    <w:rsid w:val="00322AB8"/>
    <w:rsid w:val="00322D82"/>
    <w:rsid w:val="00322EE5"/>
    <w:rsid w:val="00322F20"/>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13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5D98"/>
    <w:rsid w:val="0033613B"/>
    <w:rsid w:val="0033616B"/>
    <w:rsid w:val="00336406"/>
    <w:rsid w:val="00336601"/>
    <w:rsid w:val="00336D33"/>
    <w:rsid w:val="00336E10"/>
    <w:rsid w:val="00337560"/>
    <w:rsid w:val="003376BA"/>
    <w:rsid w:val="003377CA"/>
    <w:rsid w:val="00337CDA"/>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3DA"/>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846"/>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8A4"/>
    <w:rsid w:val="00362BEE"/>
    <w:rsid w:val="00362D13"/>
    <w:rsid w:val="00362D37"/>
    <w:rsid w:val="003634DD"/>
    <w:rsid w:val="00363940"/>
    <w:rsid w:val="00363A1E"/>
    <w:rsid w:val="00363C34"/>
    <w:rsid w:val="003640A0"/>
    <w:rsid w:val="00364173"/>
    <w:rsid w:val="003644EF"/>
    <w:rsid w:val="0036456A"/>
    <w:rsid w:val="00364646"/>
    <w:rsid w:val="00364815"/>
    <w:rsid w:val="003649DD"/>
    <w:rsid w:val="00364CC9"/>
    <w:rsid w:val="00365345"/>
    <w:rsid w:val="0036548D"/>
    <w:rsid w:val="003654AB"/>
    <w:rsid w:val="003654F8"/>
    <w:rsid w:val="003656A2"/>
    <w:rsid w:val="003668BA"/>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1B9"/>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C6D"/>
    <w:rsid w:val="00384DC7"/>
    <w:rsid w:val="00385155"/>
    <w:rsid w:val="003852A3"/>
    <w:rsid w:val="00385332"/>
    <w:rsid w:val="0038539B"/>
    <w:rsid w:val="003854C2"/>
    <w:rsid w:val="003855E1"/>
    <w:rsid w:val="00385678"/>
    <w:rsid w:val="00385CBC"/>
    <w:rsid w:val="00385DD0"/>
    <w:rsid w:val="00386125"/>
    <w:rsid w:val="003861F8"/>
    <w:rsid w:val="00386307"/>
    <w:rsid w:val="003864D8"/>
    <w:rsid w:val="003864F0"/>
    <w:rsid w:val="00386B1C"/>
    <w:rsid w:val="00386F9D"/>
    <w:rsid w:val="003870CF"/>
    <w:rsid w:val="00387142"/>
    <w:rsid w:val="003871F3"/>
    <w:rsid w:val="0038757B"/>
    <w:rsid w:val="0038773F"/>
    <w:rsid w:val="0038788B"/>
    <w:rsid w:val="00387F1E"/>
    <w:rsid w:val="00390B38"/>
    <w:rsid w:val="00390D24"/>
    <w:rsid w:val="003911E9"/>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14"/>
    <w:rsid w:val="003A213C"/>
    <w:rsid w:val="003A2169"/>
    <w:rsid w:val="003A2463"/>
    <w:rsid w:val="003A2C7E"/>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08D"/>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4D3"/>
    <w:rsid w:val="003C0B30"/>
    <w:rsid w:val="003C0BB3"/>
    <w:rsid w:val="003C0CAF"/>
    <w:rsid w:val="003C117A"/>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268"/>
    <w:rsid w:val="003C67BC"/>
    <w:rsid w:val="003C67E3"/>
    <w:rsid w:val="003C68F5"/>
    <w:rsid w:val="003C6900"/>
    <w:rsid w:val="003C69EB"/>
    <w:rsid w:val="003C6A09"/>
    <w:rsid w:val="003C6D55"/>
    <w:rsid w:val="003C73EE"/>
    <w:rsid w:val="003C7467"/>
    <w:rsid w:val="003C7A78"/>
    <w:rsid w:val="003C7AA5"/>
    <w:rsid w:val="003C7C61"/>
    <w:rsid w:val="003D05D2"/>
    <w:rsid w:val="003D0D5F"/>
    <w:rsid w:val="003D1038"/>
    <w:rsid w:val="003D1152"/>
    <w:rsid w:val="003D1253"/>
    <w:rsid w:val="003D15EB"/>
    <w:rsid w:val="003D1927"/>
    <w:rsid w:val="003D1BC8"/>
    <w:rsid w:val="003D2485"/>
    <w:rsid w:val="003D3521"/>
    <w:rsid w:val="003D3817"/>
    <w:rsid w:val="003D3DF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3D8"/>
    <w:rsid w:val="003E07BA"/>
    <w:rsid w:val="003E0A40"/>
    <w:rsid w:val="003E0DD9"/>
    <w:rsid w:val="003E1493"/>
    <w:rsid w:val="003E15A0"/>
    <w:rsid w:val="003E1DF8"/>
    <w:rsid w:val="003E2C62"/>
    <w:rsid w:val="003E2D05"/>
    <w:rsid w:val="003E3057"/>
    <w:rsid w:val="003E32BF"/>
    <w:rsid w:val="003E344A"/>
    <w:rsid w:val="003E3826"/>
    <w:rsid w:val="003E3A68"/>
    <w:rsid w:val="003E4657"/>
    <w:rsid w:val="003E478C"/>
    <w:rsid w:val="003E481A"/>
    <w:rsid w:val="003E4E88"/>
    <w:rsid w:val="003E4ECC"/>
    <w:rsid w:val="003E51C1"/>
    <w:rsid w:val="003E52A3"/>
    <w:rsid w:val="003E530B"/>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ADA"/>
    <w:rsid w:val="003F5B00"/>
    <w:rsid w:val="003F693C"/>
    <w:rsid w:val="003F7287"/>
    <w:rsid w:val="003F7BE6"/>
    <w:rsid w:val="00400FC6"/>
    <w:rsid w:val="00400FFC"/>
    <w:rsid w:val="00401367"/>
    <w:rsid w:val="0040159E"/>
    <w:rsid w:val="00401687"/>
    <w:rsid w:val="00401EF0"/>
    <w:rsid w:val="00402112"/>
    <w:rsid w:val="00402560"/>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DA"/>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4A92"/>
    <w:rsid w:val="0043506F"/>
    <w:rsid w:val="0043517A"/>
    <w:rsid w:val="00435207"/>
    <w:rsid w:val="00435F83"/>
    <w:rsid w:val="00435FE0"/>
    <w:rsid w:val="0043601B"/>
    <w:rsid w:val="0043624E"/>
    <w:rsid w:val="00436296"/>
    <w:rsid w:val="004365C7"/>
    <w:rsid w:val="00436630"/>
    <w:rsid w:val="00436804"/>
    <w:rsid w:val="004368EA"/>
    <w:rsid w:val="00436C5B"/>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ACA"/>
    <w:rsid w:val="00443BB1"/>
    <w:rsid w:val="004445E5"/>
    <w:rsid w:val="0044494F"/>
    <w:rsid w:val="00444D05"/>
    <w:rsid w:val="00445015"/>
    <w:rsid w:val="004452DC"/>
    <w:rsid w:val="004452F6"/>
    <w:rsid w:val="00445537"/>
    <w:rsid w:val="00445917"/>
    <w:rsid w:val="00445DA4"/>
    <w:rsid w:val="0044626E"/>
    <w:rsid w:val="00446856"/>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54"/>
    <w:rsid w:val="00453AE2"/>
    <w:rsid w:val="00453D69"/>
    <w:rsid w:val="0045428B"/>
    <w:rsid w:val="00454577"/>
    <w:rsid w:val="0045461E"/>
    <w:rsid w:val="004546E5"/>
    <w:rsid w:val="00454D4A"/>
    <w:rsid w:val="00455105"/>
    <w:rsid w:val="004551A4"/>
    <w:rsid w:val="004551BC"/>
    <w:rsid w:val="00455371"/>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5EF"/>
    <w:rsid w:val="004616E2"/>
    <w:rsid w:val="00461753"/>
    <w:rsid w:val="00461831"/>
    <w:rsid w:val="00461A7C"/>
    <w:rsid w:val="00461BC2"/>
    <w:rsid w:val="004621A5"/>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A6D"/>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4DB"/>
    <w:rsid w:val="00491985"/>
    <w:rsid w:val="00491AC6"/>
    <w:rsid w:val="00491DB8"/>
    <w:rsid w:val="0049201C"/>
    <w:rsid w:val="004921C7"/>
    <w:rsid w:val="0049289A"/>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6C1"/>
    <w:rsid w:val="004A4813"/>
    <w:rsid w:val="004A48B2"/>
    <w:rsid w:val="004A4DA8"/>
    <w:rsid w:val="004A5900"/>
    <w:rsid w:val="004A62A0"/>
    <w:rsid w:val="004A68EB"/>
    <w:rsid w:val="004A6F98"/>
    <w:rsid w:val="004A7749"/>
    <w:rsid w:val="004A7CAB"/>
    <w:rsid w:val="004A7DC7"/>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422"/>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6CE9"/>
    <w:rsid w:val="004C71AC"/>
    <w:rsid w:val="004C71B6"/>
    <w:rsid w:val="004C76EA"/>
    <w:rsid w:val="004D0825"/>
    <w:rsid w:val="004D0C4E"/>
    <w:rsid w:val="004D0F41"/>
    <w:rsid w:val="004D10F0"/>
    <w:rsid w:val="004D11F7"/>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737"/>
    <w:rsid w:val="004E181E"/>
    <w:rsid w:val="004E1855"/>
    <w:rsid w:val="004E22D5"/>
    <w:rsid w:val="004E2BFA"/>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1A3"/>
    <w:rsid w:val="004F077B"/>
    <w:rsid w:val="004F0B77"/>
    <w:rsid w:val="004F0CC8"/>
    <w:rsid w:val="004F0D11"/>
    <w:rsid w:val="004F0D88"/>
    <w:rsid w:val="004F130D"/>
    <w:rsid w:val="004F13E0"/>
    <w:rsid w:val="004F1496"/>
    <w:rsid w:val="004F1717"/>
    <w:rsid w:val="004F1D01"/>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C2E"/>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453"/>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1DF"/>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125"/>
    <w:rsid w:val="0053727B"/>
    <w:rsid w:val="00537494"/>
    <w:rsid w:val="005377E0"/>
    <w:rsid w:val="0053795B"/>
    <w:rsid w:val="005379EC"/>
    <w:rsid w:val="00537B3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A70"/>
    <w:rsid w:val="00546E18"/>
    <w:rsid w:val="00546EB3"/>
    <w:rsid w:val="00547060"/>
    <w:rsid w:val="00547224"/>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D9C"/>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1CF"/>
    <w:rsid w:val="0057558D"/>
    <w:rsid w:val="00575A52"/>
    <w:rsid w:val="00575CFD"/>
    <w:rsid w:val="00575D2D"/>
    <w:rsid w:val="005761FB"/>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5E7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A85"/>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1B7"/>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2F2"/>
    <w:rsid w:val="005B776C"/>
    <w:rsid w:val="005B77A0"/>
    <w:rsid w:val="005B7BD7"/>
    <w:rsid w:val="005B7D2C"/>
    <w:rsid w:val="005B7D59"/>
    <w:rsid w:val="005B7EE3"/>
    <w:rsid w:val="005B7F18"/>
    <w:rsid w:val="005C0023"/>
    <w:rsid w:val="005C0488"/>
    <w:rsid w:val="005C0E08"/>
    <w:rsid w:val="005C1C73"/>
    <w:rsid w:val="005C1E38"/>
    <w:rsid w:val="005C2767"/>
    <w:rsid w:val="005C2938"/>
    <w:rsid w:val="005C3246"/>
    <w:rsid w:val="005C33A2"/>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5E"/>
    <w:rsid w:val="005C6679"/>
    <w:rsid w:val="005C6AB4"/>
    <w:rsid w:val="005C6B8D"/>
    <w:rsid w:val="005C6E25"/>
    <w:rsid w:val="005C7563"/>
    <w:rsid w:val="005C7763"/>
    <w:rsid w:val="005C7A22"/>
    <w:rsid w:val="005C7BF3"/>
    <w:rsid w:val="005C7CB4"/>
    <w:rsid w:val="005C7DB9"/>
    <w:rsid w:val="005D0959"/>
    <w:rsid w:val="005D0987"/>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77E"/>
    <w:rsid w:val="005D3ACB"/>
    <w:rsid w:val="005D3B22"/>
    <w:rsid w:val="005D3B95"/>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E0"/>
    <w:rsid w:val="005D66A4"/>
    <w:rsid w:val="005D6B25"/>
    <w:rsid w:val="005D6F58"/>
    <w:rsid w:val="005D7189"/>
    <w:rsid w:val="005D7242"/>
    <w:rsid w:val="005D7731"/>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564"/>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2D74"/>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C4B"/>
    <w:rsid w:val="00601E05"/>
    <w:rsid w:val="00601F82"/>
    <w:rsid w:val="0060270F"/>
    <w:rsid w:val="00602711"/>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5B5"/>
    <w:rsid w:val="00611B56"/>
    <w:rsid w:val="0061201C"/>
    <w:rsid w:val="0061229B"/>
    <w:rsid w:val="00612556"/>
    <w:rsid w:val="00612964"/>
    <w:rsid w:val="00612A3A"/>
    <w:rsid w:val="0061338C"/>
    <w:rsid w:val="0061339E"/>
    <w:rsid w:val="00613531"/>
    <w:rsid w:val="006135A3"/>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629"/>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8FF"/>
    <w:rsid w:val="00627D5C"/>
    <w:rsid w:val="00627D77"/>
    <w:rsid w:val="00630167"/>
    <w:rsid w:val="00630249"/>
    <w:rsid w:val="006302F0"/>
    <w:rsid w:val="00630482"/>
    <w:rsid w:val="0063075A"/>
    <w:rsid w:val="00630CAF"/>
    <w:rsid w:val="006315B6"/>
    <w:rsid w:val="00631A32"/>
    <w:rsid w:val="00631E57"/>
    <w:rsid w:val="00632190"/>
    <w:rsid w:val="006321B4"/>
    <w:rsid w:val="00632A67"/>
    <w:rsid w:val="00632D1B"/>
    <w:rsid w:val="006332F7"/>
    <w:rsid w:val="00633C06"/>
    <w:rsid w:val="00633C82"/>
    <w:rsid w:val="0063439B"/>
    <w:rsid w:val="00634A90"/>
    <w:rsid w:val="0063503E"/>
    <w:rsid w:val="006350EE"/>
    <w:rsid w:val="006351CF"/>
    <w:rsid w:val="00635446"/>
    <w:rsid w:val="00635774"/>
    <w:rsid w:val="0063580D"/>
    <w:rsid w:val="00635B45"/>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22A"/>
    <w:rsid w:val="00642C6B"/>
    <w:rsid w:val="00642D3E"/>
    <w:rsid w:val="00642E9A"/>
    <w:rsid w:val="006435C6"/>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9E8"/>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DD4"/>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E90"/>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6DA"/>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EC3"/>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D91"/>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2F"/>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4E4"/>
    <w:rsid w:val="006B7589"/>
    <w:rsid w:val="006B766F"/>
    <w:rsid w:val="006B7854"/>
    <w:rsid w:val="006B7A0E"/>
    <w:rsid w:val="006B7D6C"/>
    <w:rsid w:val="006C0006"/>
    <w:rsid w:val="006C06AD"/>
    <w:rsid w:val="006C0A28"/>
    <w:rsid w:val="006C0C3B"/>
    <w:rsid w:val="006C0E56"/>
    <w:rsid w:val="006C148F"/>
    <w:rsid w:val="006C1564"/>
    <w:rsid w:val="006C1681"/>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697"/>
    <w:rsid w:val="006C7B1F"/>
    <w:rsid w:val="006D04D7"/>
    <w:rsid w:val="006D0814"/>
    <w:rsid w:val="006D098D"/>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ADB"/>
    <w:rsid w:val="006D7F39"/>
    <w:rsid w:val="006E03A1"/>
    <w:rsid w:val="006E08CF"/>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514"/>
    <w:rsid w:val="006E460F"/>
    <w:rsid w:val="006E4647"/>
    <w:rsid w:val="006E4BA6"/>
    <w:rsid w:val="006E4D4F"/>
    <w:rsid w:val="006E4DB8"/>
    <w:rsid w:val="006E513D"/>
    <w:rsid w:val="006E514B"/>
    <w:rsid w:val="006E53CC"/>
    <w:rsid w:val="006E5518"/>
    <w:rsid w:val="006E554C"/>
    <w:rsid w:val="006E5C81"/>
    <w:rsid w:val="006E5DC5"/>
    <w:rsid w:val="006E5EF3"/>
    <w:rsid w:val="006E652B"/>
    <w:rsid w:val="006E699D"/>
    <w:rsid w:val="006E6EB3"/>
    <w:rsid w:val="006E7074"/>
    <w:rsid w:val="006E7266"/>
    <w:rsid w:val="006E7595"/>
    <w:rsid w:val="006E75D7"/>
    <w:rsid w:val="006F00A0"/>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0F9"/>
    <w:rsid w:val="006F4B31"/>
    <w:rsid w:val="006F532B"/>
    <w:rsid w:val="006F5919"/>
    <w:rsid w:val="006F5CC0"/>
    <w:rsid w:val="006F61C2"/>
    <w:rsid w:val="006F61F7"/>
    <w:rsid w:val="006F6800"/>
    <w:rsid w:val="006F6AA3"/>
    <w:rsid w:val="006F6AD1"/>
    <w:rsid w:val="006F6BC8"/>
    <w:rsid w:val="006F6DAD"/>
    <w:rsid w:val="006F6F86"/>
    <w:rsid w:val="006F71D9"/>
    <w:rsid w:val="006F7414"/>
    <w:rsid w:val="006F7490"/>
    <w:rsid w:val="006F7F78"/>
    <w:rsid w:val="0070048A"/>
    <w:rsid w:val="00700C05"/>
    <w:rsid w:val="00701241"/>
    <w:rsid w:val="007013CD"/>
    <w:rsid w:val="007014CC"/>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495"/>
    <w:rsid w:val="00722632"/>
    <w:rsid w:val="0072282C"/>
    <w:rsid w:val="00722BE6"/>
    <w:rsid w:val="00722D6F"/>
    <w:rsid w:val="00722E00"/>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052"/>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3FC1"/>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B7D"/>
    <w:rsid w:val="00745C5C"/>
    <w:rsid w:val="00745DF5"/>
    <w:rsid w:val="00745E42"/>
    <w:rsid w:val="007461EC"/>
    <w:rsid w:val="0074622F"/>
    <w:rsid w:val="00746408"/>
    <w:rsid w:val="00746665"/>
    <w:rsid w:val="0074705A"/>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3EB9"/>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366"/>
    <w:rsid w:val="007634E1"/>
    <w:rsid w:val="0076357C"/>
    <w:rsid w:val="00764071"/>
    <w:rsid w:val="0076428D"/>
    <w:rsid w:val="0076489B"/>
    <w:rsid w:val="00764D42"/>
    <w:rsid w:val="00764E53"/>
    <w:rsid w:val="00765059"/>
    <w:rsid w:val="0076511F"/>
    <w:rsid w:val="0076515A"/>
    <w:rsid w:val="00765587"/>
    <w:rsid w:val="0076559D"/>
    <w:rsid w:val="00765697"/>
    <w:rsid w:val="0076579A"/>
    <w:rsid w:val="00765F6E"/>
    <w:rsid w:val="007660A7"/>
    <w:rsid w:val="00766336"/>
    <w:rsid w:val="00766570"/>
    <w:rsid w:val="0076657D"/>
    <w:rsid w:val="0076669C"/>
    <w:rsid w:val="00766716"/>
    <w:rsid w:val="007668DF"/>
    <w:rsid w:val="00766B07"/>
    <w:rsid w:val="00766F58"/>
    <w:rsid w:val="00767522"/>
    <w:rsid w:val="007675C9"/>
    <w:rsid w:val="007679DD"/>
    <w:rsid w:val="00767C0A"/>
    <w:rsid w:val="00767C1E"/>
    <w:rsid w:val="00770145"/>
    <w:rsid w:val="00770A78"/>
    <w:rsid w:val="00771066"/>
    <w:rsid w:val="00771243"/>
    <w:rsid w:val="00771BEA"/>
    <w:rsid w:val="00771E97"/>
    <w:rsid w:val="00771EFC"/>
    <w:rsid w:val="007720C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39"/>
    <w:rsid w:val="007766BA"/>
    <w:rsid w:val="007768FB"/>
    <w:rsid w:val="0077691C"/>
    <w:rsid w:val="00776C29"/>
    <w:rsid w:val="007771E7"/>
    <w:rsid w:val="00777334"/>
    <w:rsid w:val="007773E5"/>
    <w:rsid w:val="007776C8"/>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203"/>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FAC"/>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3B"/>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5"/>
    <w:rsid w:val="007B083A"/>
    <w:rsid w:val="007B08C3"/>
    <w:rsid w:val="007B0CB3"/>
    <w:rsid w:val="007B0E4C"/>
    <w:rsid w:val="007B118E"/>
    <w:rsid w:val="007B13BD"/>
    <w:rsid w:val="007B18D3"/>
    <w:rsid w:val="007B196C"/>
    <w:rsid w:val="007B1AB2"/>
    <w:rsid w:val="007B1DA8"/>
    <w:rsid w:val="007B2198"/>
    <w:rsid w:val="007B2521"/>
    <w:rsid w:val="007B2C1F"/>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A68"/>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0BA"/>
    <w:rsid w:val="007D6894"/>
    <w:rsid w:val="007D689A"/>
    <w:rsid w:val="007D7309"/>
    <w:rsid w:val="007D79B6"/>
    <w:rsid w:val="007E0699"/>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4A5"/>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7F770B"/>
    <w:rsid w:val="0080008A"/>
    <w:rsid w:val="008002AF"/>
    <w:rsid w:val="00800947"/>
    <w:rsid w:val="00800CA2"/>
    <w:rsid w:val="008012FC"/>
    <w:rsid w:val="00801665"/>
    <w:rsid w:val="00801826"/>
    <w:rsid w:val="00801B16"/>
    <w:rsid w:val="00801CCA"/>
    <w:rsid w:val="00801D2C"/>
    <w:rsid w:val="00801E27"/>
    <w:rsid w:val="00802140"/>
    <w:rsid w:val="00802582"/>
    <w:rsid w:val="0080273E"/>
    <w:rsid w:val="00802D98"/>
    <w:rsid w:val="0080303A"/>
    <w:rsid w:val="00803070"/>
    <w:rsid w:val="008039EE"/>
    <w:rsid w:val="00803A34"/>
    <w:rsid w:val="00803E7B"/>
    <w:rsid w:val="0080404E"/>
    <w:rsid w:val="008046EA"/>
    <w:rsid w:val="0080477B"/>
    <w:rsid w:val="00805141"/>
    <w:rsid w:val="0080549F"/>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0EAB"/>
    <w:rsid w:val="00821455"/>
    <w:rsid w:val="008216E2"/>
    <w:rsid w:val="0082187F"/>
    <w:rsid w:val="008218D0"/>
    <w:rsid w:val="00821ADD"/>
    <w:rsid w:val="00821E84"/>
    <w:rsid w:val="0082246B"/>
    <w:rsid w:val="0082254C"/>
    <w:rsid w:val="00822935"/>
    <w:rsid w:val="00822CAB"/>
    <w:rsid w:val="00822EB2"/>
    <w:rsid w:val="00822FEF"/>
    <w:rsid w:val="008231A4"/>
    <w:rsid w:val="008234DF"/>
    <w:rsid w:val="00823B69"/>
    <w:rsid w:val="00823E6F"/>
    <w:rsid w:val="0082424A"/>
    <w:rsid w:val="0082460E"/>
    <w:rsid w:val="008247B0"/>
    <w:rsid w:val="00824C47"/>
    <w:rsid w:val="008253DB"/>
    <w:rsid w:val="00825631"/>
    <w:rsid w:val="008259CD"/>
    <w:rsid w:val="00825BF7"/>
    <w:rsid w:val="00825DE5"/>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8D3"/>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0E4"/>
    <w:rsid w:val="008501A5"/>
    <w:rsid w:val="0085072B"/>
    <w:rsid w:val="00850F53"/>
    <w:rsid w:val="00850FCE"/>
    <w:rsid w:val="008521C2"/>
    <w:rsid w:val="008524A9"/>
    <w:rsid w:val="0085295F"/>
    <w:rsid w:val="0085308C"/>
    <w:rsid w:val="00853334"/>
    <w:rsid w:val="0085334B"/>
    <w:rsid w:val="008535F0"/>
    <w:rsid w:val="00853A17"/>
    <w:rsid w:val="00853EC3"/>
    <w:rsid w:val="0085414B"/>
    <w:rsid w:val="0085416B"/>
    <w:rsid w:val="008542F8"/>
    <w:rsid w:val="008545ED"/>
    <w:rsid w:val="008548F3"/>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601"/>
    <w:rsid w:val="008777AB"/>
    <w:rsid w:val="0087796A"/>
    <w:rsid w:val="00877CFA"/>
    <w:rsid w:val="00877E3F"/>
    <w:rsid w:val="00877F9B"/>
    <w:rsid w:val="00877FAD"/>
    <w:rsid w:val="008800C9"/>
    <w:rsid w:val="0088054D"/>
    <w:rsid w:val="0088056E"/>
    <w:rsid w:val="008808BC"/>
    <w:rsid w:val="00880A55"/>
    <w:rsid w:val="00880F31"/>
    <w:rsid w:val="00880F50"/>
    <w:rsid w:val="00880F69"/>
    <w:rsid w:val="0088111F"/>
    <w:rsid w:val="008811E3"/>
    <w:rsid w:val="00881BEA"/>
    <w:rsid w:val="00881EB1"/>
    <w:rsid w:val="00882A3D"/>
    <w:rsid w:val="00882C1F"/>
    <w:rsid w:val="0088303A"/>
    <w:rsid w:val="00883085"/>
    <w:rsid w:val="008832EC"/>
    <w:rsid w:val="0088342C"/>
    <w:rsid w:val="0088371B"/>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953"/>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01C"/>
    <w:rsid w:val="00896428"/>
    <w:rsid w:val="00896442"/>
    <w:rsid w:val="008964AE"/>
    <w:rsid w:val="0089655C"/>
    <w:rsid w:val="008965CF"/>
    <w:rsid w:val="008965EF"/>
    <w:rsid w:val="00896620"/>
    <w:rsid w:val="0089694B"/>
    <w:rsid w:val="00896EB9"/>
    <w:rsid w:val="00897348"/>
    <w:rsid w:val="008973F0"/>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64"/>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5F88"/>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4E"/>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B2"/>
    <w:rsid w:val="008E60EB"/>
    <w:rsid w:val="008E62A2"/>
    <w:rsid w:val="008E6443"/>
    <w:rsid w:val="008E7386"/>
    <w:rsid w:val="008E7BA3"/>
    <w:rsid w:val="008E7E66"/>
    <w:rsid w:val="008E7E8A"/>
    <w:rsid w:val="008F01CB"/>
    <w:rsid w:val="008F027D"/>
    <w:rsid w:val="008F0957"/>
    <w:rsid w:val="008F1971"/>
    <w:rsid w:val="008F2127"/>
    <w:rsid w:val="008F2648"/>
    <w:rsid w:val="008F2A85"/>
    <w:rsid w:val="008F2D49"/>
    <w:rsid w:val="008F2F80"/>
    <w:rsid w:val="008F3116"/>
    <w:rsid w:val="008F320D"/>
    <w:rsid w:val="008F3855"/>
    <w:rsid w:val="008F39FB"/>
    <w:rsid w:val="008F467A"/>
    <w:rsid w:val="008F4B0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4F45"/>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75E"/>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4EA"/>
    <w:rsid w:val="00915508"/>
    <w:rsid w:val="00915585"/>
    <w:rsid w:val="0091558A"/>
    <w:rsid w:val="00915682"/>
    <w:rsid w:val="00916762"/>
    <w:rsid w:val="009168E1"/>
    <w:rsid w:val="009169A2"/>
    <w:rsid w:val="00916B56"/>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B0C"/>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216"/>
    <w:rsid w:val="009524AA"/>
    <w:rsid w:val="00952677"/>
    <w:rsid w:val="00952C57"/>
    <w:rsid w:val="00953142"/>
    <w:rsid w:val="0095324C"/>
    <w:rsid w:val="0095333B"/>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0D"/>
    <w:rsid w:val="009578CF"/>
    <w:rsid w:val="009578ED"/>
    <w:rsid w:val="00957E25"/>
    <w:rsid w:val="00957EF0"/>
    <w:rsid w:val="00960500"/>
    <w:rsid w:val="009609B1"/>
    <w:rsid w:val="00960DA5"/>
    <w:rsid w:val="00960E7D"/>
    <w:rsid w:val="00961324"/>
    <w:rsid w:val="0096203C"/>
    <w:rsid w:val="009622BD"/>
    <w:rsid w:val="009627D5"/>
    <w:rsid w:val="0096298F"/>
    <w:rsid w:val="00962B73"/>
    <w:rsid w:val="00962CA1"/>
    <w:rsid w:val="00962E00"/>
    <w:rsid w:val="00962E10"/>
    <w:rsid w:val="00962E5A"/>
    <w:rsid w:val="00963364"/>
    <w:rsid w:val="00963371"/>
    <w:rsid w:val="009633EC"/>
    <w:rsid w:val="00963F34"/>
    <w:rsid w:val="009640AC"/>
    <w:rsid w:val="00964591"/>
    <w:rsid w:val="00964598"/>
    <w:rsid w:val="0096474E"/>
    <w:rsid w:val="00964DD6"/>
    <w:rsid w:val="00964F8D"/>
    <w:rsid w:val="0096511B"/>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6A1"/>
    <w:rsid w:val="00970A78"/>
    <w:rsid w:val="00970BE7"/>
    <w:rsid w:val="00970C01"/>
    <w:rsid w:val="00971009"/>
    <w:rsid w:val="0097124D"/>
    <w:rsid w:val="00971891"/>
    <w:rsid w:val="00971F4B"/>
    <w:rsid w:val="009722C0"/>
    <w:rsid w:val="00972772"/>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D9B"/>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D55"/>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315"/>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1E9F"/>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432"/>
    <w:rsid w:val="009D65DD"/>
    <w:rsid w:val="009D683F"/>
    <w:rsid w:val="009D6DD9"/>
    <w:rsid w:val="009D6EE9"/>
    <w:rsid w:val="009D7143"/>
    <w:rsid w:val="009D77CA"/>
    <w:rsid w:val="009D7B6E"/>
    <w:rsid w:val="009D7BE4"/>
    <w:rsid w:val="009D7EDC"/>
    <w:rsid w:val="009E007F"/>
    <w:rsid w:val="009E0C62"/>
    <w:rsid w:val="009E0C76"/>
    <w:rsid w:val="009E0D26"/>
    <w:rsid w:val="009E10F1"/>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592"/>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8D3"/>
    <w:rsid w:val="009F498B"/>
    <w:rsid w:val="009F4CE6"/>
    <w:rsid w:val="009F5682"/>
    <w:rsid w:val="009F58E2"/>
    <w:rsid w:val="009F59D9"/>
    <w:rsid w:val="009F5A5C"/>
    <w:rsid w:val="009F5BF9"/>
    <w:rsid w:val="009F5D4F"/>
    <w:rsid w:val="009F5DD3"/>
    <w:rsid w:val="009F5DF3"/>
    <w:rsid w:val="009F6352"/>
    <w:rsid w:val="009F6FE3"/>
    <w:rsid w:val="009F6FE4"/>
    <w:rsid w:val="009F7260"/>
    <w:rsid w:val="009F72E7"/>
    <w:rsid w:val="009F7B92"/>
    <w:rsid w:val="009F7BFD"/>
    <w:rsid w:val="009F7FC2"/>
    <w:rsid w:val="00A00007"/>
    <w:rsid w:val="00A00333"/>
    <w:rsid w:val="00A003EB"/>
    <w:rsid w:val="00A00811"/>
    <w:rsid w:val="00A009A1"/>
    <w:rsid w:val="00A00B89"/>
    <w:rsid w:val="00A00BAC"/>
    <w:rsid w:val="00A00E2B"/>
    <w:rsid w:val="00A01050"/>
    <w:rsid w:val="00A0123C"/>
    <w:rsid w:val="00A0127B"/>
    <w:rsid w:val="00A0139B"/>
    <w:rsid w:val="00A013E1"/>
    <w:rsid w:val="00A0141B"/>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3E0"/>
    <w:rsid w:val="00A125FD"/>
    <w:rsid w:val="00A127EE"/>
    <w:rsid w:val="00A12AF7"/>
    <w:rsid w:val="00A12C9A"/>
    <w:rsid w:val="00A12CB5"/>
    <w:rsid w:val="00A12E9D"/>
    <w:rsid w:val="00A13747"/>
    <w:rsid w:val="00A13B02"/>
    <w:rsid w:val="00A13B3B"/>
    <w:rsid w:val="00A13BB2"/>
    <w:rsid w:val="00A14585"/>
    <w:rsid w:val="00A1468A"/>
    <w:rsid w:val="00A147AD"/>
    <w:rsid w:val="00A14870"/>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BF7"/>
    <w:rsid w:val="00A33FE1"/>
    <w:rsid w:val="00A341B4"/>
    <w:rsid w:val="00A344AD"/>
    <w:rsid w:val="00A34873"/>
    <w:rsid w:val="00A3528D"/>
    <w:rsid w:val="00A354CF"/>
    <w:rsid w:val="00A362A1"/>
    <w:rsid w:val="00A362DE"/>
    <w:rsid w:val="00A3641F"/>
    <w:rsid w:val="00A36A7D"/>
    <w:rsid w:val="00A36BD5"/>
    <w:rsid w:val="00A36C94"/>
    <w:rsid w:val="00A37423"/>
    <w:rsid w:val="00A379C5"/>
    <w:rsid w:val="00A379ED"/>
    <w:rsid w:val="00A37A30"/>
    <w:rsid w:val="00A37B09"/>
    <w:rsid w:val="00A37BD2"/>
    <w:rsid w:val="00A37E1A"/>
    <w:rsid w:val="00A40E32"/>
    <w:rsid w:val="00A40FBE"/>
    <w:rsid w:val="00A410BB"/>
    <w:rsid w:val="00A41160"/>
    <w:rsid w:val="00A412B1"/>
    <w:rsid w:val="00A413CD"/>
    <w:rsid w:val="00A41501"/>
    <w:rsid w:val="00A418C3"/>
    <w:rsid w:val="00A41CAC"/>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1C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C37"/>
    <w:rsid w:val="00A5315F"/>
    <w:rsid w:val="00A535EE"/>
    <w:rsid w:val="00A53724"/>
    <w:rsid w:val="00A53ADF"/>
    <w:rsid w:val="00A53BE2"/>
    <w:rsid w:val="00A53E20"/>
    <w:rsid w:val="00A54199"/>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9D4"/>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0FAC"/>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AA2"/>
    <w:rsid w:val="00A86C48"/>
    <w:rsid w:val="00A86E37"/>
    <w:rsid w:val="00A87123"/>
    <w:rsid w:val="00A87697"/>
    <w:rsid w:val="00A87BEA"/>
    <w:rsid w:val="00A87E2C"/>
    <w:rsid w:val="00A87E59"/>
    <w:rsid w:val="00A9032B"/>
    <w:rsid w:val="00A90B14"/>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7BD"/>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8A5"/>
    <w:rsid w:val="00AA6E65"/>
    <w:rsid w:val="00AA6FDD"/>
    <w:rsid w:val="00AA731F"/>
    <w:rsid w:val="00AA7B5F"/>
    <w:rsid w:val="00AA7D74"/>
    <w:rsid w:val="00AA7DB9"/>
    <w:rsid w:val="00AA7EEB"/>
    <w:rsid w:val="00AB0054"/>
    <w:rsid w:val="00AB00DA"/>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5E1"/>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A90"/>
    <w:rsid w:val="00AF1EF3"/>
    <w:rsid w:val="00AF2178"/>
    <w:rsid w:val="00AF2280"/>
    <w:rsid w:val="00AF3894"/>
    <w:rsid w:val="00AF3DC1"/>
    <w:rsid w:val="00AF3F6A"/>
    <w:rsid w:val="00AF44F6"/>
    <w:rsid w:val="00AF47AA"/>
    <w:rsid w:val="00AF4C9E"/>
    <w:rsid w:val="00AF4E28"/>
    <w:rsid w:val="00AF518C"/>
    <w:rsid w:val="00AF5529"/>
    <w:rsid w:val="00AF559E"/>
    <w:rsid w:val="00AF5779"/>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796"/>
    <w:rsid w:val="00B06894"/>
    <w:rsid w:val="00B06967"/>
    <w:rsid w:val="00B0700F"/>
    <w:rsid w:val="00B07705"/>
    <w:rsid w:val="00B0778E"/>
    <w:rsid w:val="00B07CD7"/>
    <w:rsid w:val="00B10199"/>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1F3"/>
    <w:rsid w:val="00B21600"/>
    <w:rsid w:val="00B21642"/>
    <w:rsid w:val="00B21B58"/>
    <w:rsid w:val="00B22103"/>
    <w:rsid w:val="00B227D9"/>
    <w:rsid w:val="00B228DF"/>
    <w:rsid w:val="00B229EC"/>
    <w:rsid w:val="00B22E8C"/>
    <w:rsid w:val="00B22EE6"/>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4E"/>
    <w:rsid w:val="00B34BE1"/>
    <w:rsid w:val="00B34E5E"/>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6C"/>
    <w:rsid w:val="00B40677"/>
    <w:rsid w:val="00B408B7"/>
    <w:rsid w:val="00B40996"/>
    <w:rsid w:val="00B40C66"/>
    <w:rsid w:val="00B40F51"/>
    <w:rsid w:val="00B41254"/>
    <w:rsid w:val="00B412C5"/>
    <w:rsid w:val="00B412F9"/>
    <w:rsid w:val="00B41394"/>
    <w:rsid w:val="00B414AD"/>
    <w:rsid w:val="00B4170B"/>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10C"/>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4F43"/>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8A4"/>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4AE"/>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7A9"/>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EC"/>
    <w:rsid w:val="00BB0E0F"/>
    <w:rsid w:val="00BB0FAA"/>
    <w:rsid w:val="00BB11DA"/>
    <w:rsid w:val="00BB1242"/>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1AC"/>
    <w:rsid w:val="00BD1227"/>
    <w:rsid w:val="00BD255D"/>
    <w:rsid w:val="00BD2790"/>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3CB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EF0"/>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08"/>
    <w:rsid w:val="00BF2FBE"/>
    <w:rsid w:val="00BF3010"/>
    <w:rsid w:val="00BF3180"/>
    <w:rsid w:val="00BF3478"/>
    <w:rsid w:val="00BF37C7"/>
    <w:rsid w:val="00BF38B1"/>
    <w:rsid w:val="00BF3A53"/>
    <w:rsid w:val="00BF3DC1"/>
    <w:rsid w:val="00BF459F"/>
    <w:rsid w:val="00BF492C"/>
    <w:rsid w:val="00BF56AB"/>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51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41"/>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2DC"/>
    <w:rsid w:val="00C2139D"/>
    <w:rsid w:val="00C2159D"/>
    <w:rsid w:val="00C21D6F"/>
    <w:rsid w:val="00C21EEE"/>
    <w:rsid w:val="00C22257"/>
    <w:rsid w:val="00C226F6"/>
    <w:rsid w:val="00C22F9B"/>
    <w:rsid w:val="00C23437"/>
    <w:rsid w:val="00C23D15"/>
    <w:rsid w:val="00C23E9F"/>
    <w:rsid w:val="00C253F5"/>
    <w:rsid w:val="00C25638"/>
    <w:rsid w:val="00C259DF"/>
    <w:rsid w:val="00C259EC"/>
    <w:rsid w:val="00C25B7D"/>
    <w:rsid w:val="00C25E3D"/>
    <w:rsid w:val="00C261C3"/>
    <w:rsid w:val="00C26402"/>
    <w:rsid w:val="00C26487"/>
    <w:rsid w:val="00C266D7"/>
    <w:rsid w:val="00C26D5D"/>
    <w:rsid w:val="00C27029"/>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AD5"/>
    <w:rsid w:val="00C37DF3"/>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5FD6"/>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5D75"/>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CE4"/>
    <w:rsid w:val="00C63E0F"/>
    <w:rsid w:val="00C63E9F"/>
    <w:rsid w:val="00C6472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D6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6FCD"/>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29E"/>
    <w:rsid w:val="00CA2325"/>
    <w:rsid w:val="00CA28CB"/>
    <w:rsid w:val="00CA28F1"/>
    <w:rsid w:val="00CA2FA7"/>
    <w:rsid w:val="00CA301A"/>
    <w:rsid w:val="00CA307D"/>
    <w:rsid w:val="00CA349F"/>
    <w:rsid w:val="00CA350A"/>
    <w:rsid w:val="00CA35C3"/>
    <w:rsid w:val="00CA38F9"/>
    <w:rsid w:val="00CA3B9A"/>
    <w:rsid w:val="00CA40E4"/>
    <w:rsid w:val="00CA4275"/>
    <w:rsid w:val="00CA4408"/>
    <w:rsid w:val="00CA4568"/>
    <w:rsid w:val="00CA479B"/>
    <w:rsid w:val="00CA4ABF"/>
    <w:rsid w:val="00CA4EAE"/>
    <w:rsid w:val="00CA4FD6"/>
    <w:rsid w:val="00CA5122"/>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C6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927"/>
    <w:rsid w:val="00CB6A81"/>
    <w:rsid w:val="00CB6B2F"/>
    <w:rsid w:val="00CB70D6"/>
    <w:rsid w:val="00CB70FD"/>
    <w:rsid w:val="00CB71A9"/>
    <w:rsid w:val="00CB7288"/>
    <w:rsid w:val="00CB769C"/>
    <w:rsid w:val="00CB79EA"/>
    <w:rsid w:val="00CB7A6B"/>
    <w:rsid w:val="00CB7F73"/>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0F0"/>
    <w:rsid w:val="00CC62EB"/>
    <w:rsid w:val="00CC635B"/>
    <w:rsid w:val="00CC6584"/>
    <w:rsid w:val="00CC668F"/>
    <w:rsid w:val="00CC6DE8"/>
    <w:rsid w:val="00CC78FB"/>
    <w:rsid w:val="00CC7C5A"/>
    <w:rsid w:val="00CD027C"/>
    <w:rsid w:val="00CD0790"/>
    <w:rsid w:val="00CD09DE"/>
    <w:rsid w:val="00CD0BEF"/>
    <w:rsid w:val="00CD11D2"/>
    <w:rsid w:val="00CD16E5"/>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8C6"/>
    <w:rsid w:val="00CE2DB8"/>
    <w:rsid w:val="00CE2E16"/>
    <w:rsid w:val="00CE2FEF"/>
    <w:rsid w:val="00CE3072"/>
    <w:rsid w:val="00CE315F"/>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AC"/>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0C0"/>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363"/>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3A2"/>
    <w:rsid w:val="00D039A5"/>
    <w:rsid w:val="00D03D7C"/>
    <w:rsid w:val="00D04209"/>
    <w:rsid w:val="00D04224"/>
    <w:rsid w:val="00D046B4"/>
    <w:rsid w:val="00D0494B"/>
    <w:rsid w:val="00D04999"/>
    <w:rsid w:val="00D04A79"/>
    <w:rsid w:val="00D05156"/>
    <w:rsid w:val="00D056A1"/>
    <w:rsid w:val="00D05743"/>
    <w:rsid w:val="00D0595A"/>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A36"/>
    <w:rsid w:val="00D14CDD"/>
    <w:rsid w:val="00D14D34"/>
    <w:rsid w:val="00D151C9"/>
    <w:rsid w:val="00D152CC"/>
    <w:rsid w:val="00D1576D"/>
    <w:rsid w:val="00D15A6F"/>
    <w:rsid w:val="00D16475"/>
    <w:rsid w:val="00D165CB"/>
    <w:rsid w:val="00D1687F"/>
    <w:rsid w:val="00D16FDA"/>
    <w:rsid w:val="00D171E7"/>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CEF"/>
    <w:rsid w:val="00D31EC7"/>
    <w:rsid w:val="00D3204C"/>
    <w:rsid w:val="00D321E2"/>
    <w:rsid w:val="00D32235"/>
    <w:rsid w:val="00D323FA"/>
    <w:rsid w:val="00D32578"/>
    <w:rsid w:val="00D3280C"/>
    <w:rsid w:val="00D328C6"/>
    <w:rsid w:val="00D32FD0"/>
    <w:rsid w:val="00D339CF"/>
    <w:rsid w:val="00D33A49"/>
    <w:rsid w:val="00D33C9C"/>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756"/>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211"/>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4E"/>
    <w:rsid w:val="00D51FE1"/>
    <w:rsid w:val="00D5228E"/>
    <w:rsid w:val="00D5236D"/>
    <w:rsid w:val="00D52721"/>
    <w:rsid w:val="00D52DE0"/>
    <w:rsid w:val="00D5321F"/>
    <w:rsid w:val="00D532FE"/>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3D4"/>
    <w:rsid w:val="00D557E6"/>
    <w:rsid w:val="00D558DA"/>
    <w:rsid w:val="00D55A1A"/>
    <w:rsid w:val="00D55B47"/>
    <w:rsid w:val="00D5629B"/>
    <w:rsid w:val="00D564D3"/>
    <w:rsid w:val="00D56604"/>
    <w:rsid w:val="00D56643"/>
    <w:rsid w:val="00D57409"/>
    <w:rsid w:val="00D575F8"/>
    <w:rsid w:val="00D57779"/>
    <w:rsid w:val="00D577E2"/>
    <w:rsid w:val="00D600FC"/>
    <w:rsid w:val="00D604B4"/>
    <w:rsid w:val="00D6052E"/>
    <w:rsid w:val="00D606B1"/>
    <w:rsid w:val="00D606D9"/>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5A28"/>
    <w:rsid w:val="00D66449"/>
    <w:rsid w:val="00D666BD"/>
    <w:rsid w:val="00D669BF"/>
    <w:rsid w:val="00D66BB3"/>
    <w:rsid w:val="00D66F2B"/>
    <w:rsid w:val="00D672D1"/>
    <w:rsid w:val="00D673C3"/>
    <w:rsid w:val="00D677E2"/>
    <w:rsid w:val="00D67B09"/>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36"/>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77EBC"/>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597"/>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141"/>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ABE"/>
    <w:rsid w:val="00DA6CD7"/>
    <w:rsid w:val="00DA6DAD"/>
    <w:rsid w:val="00DA7035"/>
    <w:rsid w:val="00DA735A"/>
    <w:rsid w:val="00DA75C5"/>
    <w:rsid w:val="00DA7845"/>
    <w:rsid w:val="00DB00DD"/>
    <w:rsid w:val="00DB01FC"/>
    <w:rsid w:val="00DB022C"/>
    <w:rsid w:val="00DB030B"/>
    <w:rsid w:val="00DB0410"/>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15"/>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1F07"/>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B25"/>
    <w:rsid w:val="00DD2CA5"/>
    <w:rsid w:val="00DD2DB8"/>
    <w:rsid w:val="00DD340F"/>
    <w:rsid w:val="00DD3471"/>
    <w:rsid w:val="00DD3A10"/>
    <w:rsid w:val="00DD3B20"/>
    <w:rsid w:val="00DD474B"/>
    <w:rsid w:val="00DD4964"/>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6E95"/>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BD6"/>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41E"/>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020"/>
    <w:rsid w:val="00E125AA"/>
    <w:rsid w:val="00E1260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3CB0"/>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CBB"/>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25B"/>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752"/>
    <w:rsid w:val="00E51EAD"/>
    <w:rsid w:val="00E52001"/>
    <w:rsid w:val="00E5296E"/>
    <w:rsid w:val="00E52A41"/>
    <w:rsid w:val="00E52AAF"/>
    <w:rsid w:val="00E53506"/>
    <w:rsid w:val="00E5372F"/>
    <w:rsid w:val="00E53B0D"/>
    <w:rsid w:val="00E540E9"/>
    <w:rsid w:val="00E547E7"/>
    <w:rsid w:val="00E549DE"/>
    <w:rsid w:val="00E54BDB"/>
    <w:rsid w:val="00E54C46"/>
    <w:rsid w:val="00E54DE9"/>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B4"/>
    <w:rsid w:val="00E62FF9"/>
    <w:rsid w:val="00E6307B"/>
    <w:rsid w:val="00E638EB"/>
    <w:rsid w:val="00E639A4"/>
    <w:rsid w:val="00E63D12"/>
    <w:rsid w:val="00E64090"/>
    <w:rsid w:val="00E6457C"/>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0F0"/>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44"/>
    <w:rsid w:val="00EA4174"/>
    <w:rsid w:val="00EA43AD"/>
    <w:rsid w:val="00EA458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235"/>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E0F"/>
    <w:rsid w:val="00EC2FF7"/>
    <w:rsid w:val="00EC3002"/>
    <w:rsid w:val="00EC3320"/>
    <w:rsid w:val="00EC3DF1"/>
    <w:rsid w:val="00EC436E"/>
    <w:rsid w:val="00EC4423"/>
    <w:rsid w:val="00EC44A2"/>
    <w:rsid w:val="00EC45B8"/>
    <w:rsid w:val="00EC47AC"/>
    <w:rsid w:val="00EC4BE9"/>
    <w:rsid w:val="00EC4DBA"/>
    <w:rsid w:val="00EC4EC6"/>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6C5"/>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D05"/>
    <w:rsid w:val="00EE5A4C"/>
    <w:rsid w:val="00EE5E34"/>
    <w:rsid w:val="00EE5EA3"/>
    <w:rsid w:val="00EE5EEB"/>
    <w:rsid w:val="00EE5F97"/>
    <w:rsid w:val="00EE666B"/>
    <w:rsid w:val="00EE6A82"/>
    <w:rsid w:val="00EE6E53"/>
    <w:rsid w:val="00EE6FF7"/>
    <w:rsid w:val="00EE7278"/>
    <w:rsid w:val="00EE7510"/>
    <w:rsid w:val="00EF0298"/>
    <w:rsid w:val="00EF02BA"/>
    <w:rsid w:val="00EF0331"/>
    <w:rsid w:val="00EF0A67"/>
    <w:rsid w:val="00EF0AFF"/>
    <w:rsid w:val="00EF0B8B"/>
    <w:rsid w:val="00EF0C5B"/>
    <w:rsid w:val="00EF0CF2"/>
    <w:rsid w:val="00EF0CFA"/>
    <w:rsid w:val="00EF0E1B"/>
    <w:rsid w:val="00EF0F60"/>
    <w:rsid w:val="00EF1272"/>
    <w:rsid w:val="00EF1464"/>
    <w:rsid w:val="00EF172C"/>
    <w:rsid w:val="00EF1B75"/>
    <w:rsid w:val="00EF1BF7"/>
    <w:rsid w:val="00EF1E64"/>
    <w:rsid w:val="00EF2213"/>
    <w:rsid w:val="00EF291F"/>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147"/>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F06"/>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814"/>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87C"/>
    <w:rsid w:val="00F2393F"/>
    <w:rsid w:val="00F23A50"/>
    <w:rsid w:val="00F23BC8"/>
    <w:rsid w:val="00F23FC1"/>
    <w:rsid w:val="00F241D6"/>
    <w:rsid w:val="00F242D4"/>
    <w:rsid w:val="00F24782"/>
    <w:rsid w:val="00F24E40"/>
    <w:rsid w:val="00F24F66"/>
    <w:rsid w:val="00F2513C"/>
    <w:rsid w:val="00F25148"/>
    <w:rsid w:val="00F2515E"/>
    <w:rsid w:val="00F25629"/>
    <w:rsid w:val="00F2577F"/>
    <w:rsid w:val="00F25847"/>
    <w:rsid w:val="00F25A17"/>
    <w:rsid w:val="00F25C30"/>
    <w:rsid w:val="00F25C69"/>
    <w:rsid w:val="00F25C90"/>
    <w:rsid w:val="00F25FFA"/>
    <w:rsid w:val="00F26723"/>
    <w:rsid w:val="00F26AE2"/>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2C2F"/>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6BD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17D"/>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88E"/>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194"/>
    <w:rsid w:val="00F73330"/>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0A8"/>
    <w:rsid w:val="00F773EE"/>
    <w:rsid w:val="00F7760E"/>
    <w:rsid w:val="00F7765D"/>
    <w:rsid w:val="00F77CD7"/>
    <w:rsid w:val="00F800CB"/>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AA9"/>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27"/>
    <w:rsid w:val="00FA41BF"/>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3BB"/>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2D7D"/>
    <w:rsid w:val="00FC37E5"/>
    <w:rsid w:val="00FC3956"/>
    <w:rsid w:val="00FC3B9D"/>
    <w:rsid w:val="00FC3C5D"/>
    <w:rsid w:val="00FC427B"/>
    <w:rsid w:val="00FC42D8"/>
    <w:rsid w:val="00FC4488"/>
    <w:rsid w:val="00FC468C"/>
    <w:rsid w:val="00FC4C8C"/>
    <w:rsid w:val="00FC4D9F"/>
    <w:rsid w:val="00FC4DB4"/>
    <w:rsid w:val="00FC4F4D"/>
    <w:rsid w:val="00FC542B"/>
    <w:rsid w:val="00FC56A9"/>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D72"/>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0FF73C9"/>
    <w:rsid w:val="00FF7F35"/>
    <w:rsid w:val="0193257E"/>
    <w:rsid w:val="01B95646"/>
    <w:rsid w:val="036A36D3"/>
    <w:rsid w:val="03BA0187"/>
    <w:rsid w:val="046F6F06"/>
    <w:rsid w:val="04EF0B76"/>
    <w:rsid w:val="060B7FE2"/>
    <w:rsid w:val="08BF3B1B"/>
    <w:rsid w:val="09402455"/>
    <w:rsid w:val="09D54B8F"/>
    <w:rsid w:val="0A126445"/>
    <w:rsid w:val="0B377ED5"/>
    <w:rsid w:val="0B4C1B17"/>
    <w:rsid w:val="0B735BB3"/>
    <w:rsid w:val="0BF77379"/>
    <w:rsid w:val="0C121428"/>
    <w:rsid w:val="0CAE6EF2"/>
    <w:rsid w:val="0D5415D4"/>
    <w:rsid w:val="0D5B3A7D"/>
    <w:rsid w:val="10A255FA"/>
    <w:rsid w:val="11E93C3E"/>
    <w:rsid w:val="1220408B"/>
    <w:rsid w:val="12D62C36"/>
    <w:rsid w:val="1316666C"/>
    <w:rsid w:val="13F70331"/>
    <w:rsid w:val="13F73B43"/>
    <w:rsid w:val="150275BB"/>
    <w:rsid w:val="173F2325"/>
    <w:rsid w:val="17A902B7"/>
    <w:rsid w:val="18580370"/>
    <w:rsid w:val="196447CC"/>
    <w:rsid w:val="1A4D3B34"/>
    <w:rsid w:val="1A776951"/>
    <w:rsid w:val="1A810095"/>
    <w:rsid w:val="20533FBF"/>
    <w:rsid w:val="21810998"/>
    <w:rsid w:val="218E5D17"/>
    <w:rsid w:val="22315C4F"/>
    <w:rsid w:val="227737BB"/>
    <w:rsid w:val="231C68DF"/>
    <w:rsid w:val="23E85B78"/>
    <w:rsid w:val="24A53FB1"/>
    <w:rsid w:val="24D05E32"/>
    <w:rsid w:val="257936D6"/>
    <w:rsid w:val="26D61A6F"/>
    <w:rsid w:val="2712527A"/>
    <w:rsid w:val="278A419A"/>
    <w:rsid w:val="27FD312E"/>
    <w:rsid w:val="280B6470"/>
    <w:rsid w:val="28547668"/>
    <w:rsid w:val="2910270B"/>
    <w:rsid w:val="297D4CD5"/>
    <w:rsid w:val="2A3E5B53"/>
    <w:rsid w:val="2ADF45CA"/>
    <w:rsid w:val="2CB1320E"/>
    <w:rsid w:val="2CF62808"/>
    <w:rsid w:val="2CF90BA7"/>
    <w:rsid w:val="2CF93A46"/>
    <w:rsid w:val="2D5F66BB"/>
    <w:rsid w:val="2D7F5412"/>
    <w:rsid w:val="2DA85BFE"/>
    <w:rsid w:val="2EAD55A1"/>
    <w:rsid w:val="2FC25D28"/>
    <w:rsid w:val="31396218"/>
    <w:rsid w:val="31466F52"/>
    <w:rsid w:val="317B2062"/>
    <w:rsid w:val="31B45D0F"/>
    <w:rsid w:val="32143699"/>
    <w:rsid w:val="321D26BD"/>
    <w:rsid w:val="34EF2854"/>
    <w:rsid w:val="362C423F"/>
    <w:rsid w:val="38062D7A"/>
    <w:rsid w:val="381F5066"/>
    <w:rsid w:val="386D3999"/>
    <w:rsid w:val="396A40D8"/>
    <w:rsid w:val="39EE405D"/>
    <w:rsid w:val="3A4827D0"/>
    <w:rsid w:val="3A80665D"/>
    <w:rsid w:val="3AA62059"/>
    <w:rsid w:val="3B36748D"/>
    <w:rsid w:val="3C1C2307"/>
    <w:rsid w:val="3C2D1B51"/>
    <w:rsid w:val="3CCC00F0"/>
    <w:rsid w:val="3CDE7065"/>
    <w:rsid w:val="3CF63C9D"/>
    <w:rsid w:val="3D6412C5"/>
    <w:rsid w:val="3D6F0235"/>
    <w:rsid w:val="3DA12C4A"/>
    <w:rsid w:val="3F623449"/>
    <w:rsid w:val="3FC77D78"/>
    <w:rsid w:val="401C297D"/>
    <w:rsid w:val="403C32AA"/>
    <w:rsid w:val="42957CE8"/>
    <w:rsid w:val="447A381B"/>
    <w:rsid w:val="451819F2"/>
    <w:rsid w:val="46EE0339"/>
    <w:rsid w:val="47252506"/>
    <w:rsid w:val="47527CF8"/>
    <w:rsid w:val="47961894"/>
    <w:rsid w:val="49F85B18"/>
    <w:rsid w:val="4ABD2D72"/>
    <w:rsid w:val="4B553521"/>
    <w:rsid w:val="4C172387"/>
    <w:rsid w:val="4D0813B5"/>
    <w:rsid w:val="4D1276F4"/>
    <w:rsid w:val="4E243E5C"/>
    <w:rsid w:val="4EC27A40"/>
    <w:rsid w:val="4EF913C8"/>
    <w:rsid w:val="4F77721E"/>
    <w:rsid w:val="4F8A15B4"/>
    <w:rsid w:val="4FF315B4"/>
    <w:rsid w:val="508470B2"/>
    <w:rsid w:val="52B40530"/>
    <w:rsid w:val="53800E8B"/>
    <w:rsid w:val="53E67B74"/>
    <w:rsid w:val="542E1C38"/>
    <w:rsid w:val="54C51812"/>
    <w:rsid w:val="54D33965"/>
    <w:rsid w:val="56751795"/>
    <w:rsid w:val="57601171"/>
    <w:rsid w:val="57F63357"/>
    <w:rsid w:val="58023F12"/>
    <w:rsid w:val="58356B02"/>
    <w:rsid w:val="5853124B"/>
    <w:rsid w:val="58CB3DA7"/>
    <w:rsid w:val="58F74E1D"/>
    <w:rsid w:val="590E5EB3"/>
    <w:rsid w:val="590E6D15"/>
    <w:rsid w:val="59910FAC"/>
    <w:rsid w:val="5A7C19EA"/>
    <w:rsid w:val="5AC27CB5"/>
    <w:rsid w:val="5BFE25E9"/>
    <w:rsid w:val="5C570293"/>
    <w:rsid w:val="5CC13F16"/>
    <w:rsid w:val="5CF34E32"/>
    <w:rsid w:val="5D4E355E"/>
    <w:rsid w:val="5DC360CF"/>
    <w:rsid w:val="5EA228EA"/>
    <w:rsid w:val="5EE9618E"/>
    <w:rsid w:val="5F591FEB"/>
    <w:rsid w:val="60396589"/>
    <w:rsid w:val="61522FD5"/>
    <w:rsid w:val="61785A2E"/>
    <w:rsid w:val="626C06E8"/>
    <w:rsid w:val="62B65D6E"/>
    <w:rsid w:val="62C501C0"/>
    <w:rsid w:val="630D5566"/>
    <w:rsid w:val="6368049E"/>
    <w:rsid w:val="637545E3"/>
    <w:rsid w:val="63CB088C"/>
    <w:rsid w:val="641D191C"/>
    <w:rsid w:val="652D588D"/>
    <w:rsid w:val="657E5EA5"/>
    <w:rsid w:val="660A3F96"/>
    <w:rsid w:val="66576470"/>
    <w:rsid w:val="666F29E4"/>
    <w:rsid w:val="6737511C"/>
    <w:rsid w:val="67405D02"/>
    <w:rsid w:val="69130976"/>
    <w:rsid w:val="697357A4"/>
    <w:rsid w:val="69951844"/>
    <w:rsid w:val="69F17517"/>
    <w:rsid w:val="6A333E7A"/>
    <w:rsid w:val="6A6F3B23"/>
    <w:rsid w:val="6B3C6EE5"/>
    <w:rsid w:val="6BEB5624"/>
    <w:rsid w:val="6C526294"/>
    <w:rsid w:val="6C5346DD"/>
    <w:rsid w:val="6CFE3898"/>
    <w:rsid w:val="6FAC3291"/>
    <w:rsid w:val="6FD02972"/>
    <w:rsid w:val="70EA3AD0"/>
    <w:rsid w:val="71BA618F"/>
    <w:rsid w:val="71BE1879"/>
    <w:rsid w:val="73525A03"/>
    <w:rsid w:val="737B7A84"/>
    <w:rsid w:val="73BA4916"/>
    <w:rsid w:val="75170AFD"/>
    <w:rsid w:val="751B4E28"/>
    <w:rsid w:val="75810FD3"/>
    <w:rsid w:val="759F6514"/>
    <w:rsid w:val="76482B53"/>
    <w:rsid w:val="769926CA"/>
    <w:rsid w:val="78CF1CF4"/>
    <w:rsid w:val="796E0CCB"/>
    <w:rsid w:val="7A0610DE"/>
    <w:rsid w:val="7A100D17"/>
    <w:rsid w:val="7A2C2328"/>
    <w:rsid w:val="7A8F18AA"/>
    <w:rsid w:val="7CF23EC1"/>
    <w:rsid w:val="7D795622"/>
    <w:rsid w:val="7DB42F63"/>
    <w:rsid w:val="7DE436F3"/>
    <w:rsid w:val="7F1C00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61"/>
    <w:qFormat/>
    <w:uiPriority w:val="0"/>
    <w:p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2"/>
    <w:qFormat/>
    <w:uiPriority w:val="0"/>
    <w:pPr>
      <w:spacing w:before="120"/>
      <w:outlineLvl w:val="2"/>
    </w:pPr>
    <w:rPr>
      <w:i/>
      <w:sz w:val="26"/>
      <w:szCs w:val="26"/>
    </w:rPr>
  </w:style>
  <w:style w:type="paragraph" w:styleId="5">
    <w:name w:val="heading 4"/>
    <w:basedOn w:val="4"/>
    <w:next w:val="1"/>
    <w:link w:val="63"/>
    <w:qFormat/>
    <w:uiPriority w:val="0"/>
    <w:pPr>
      <w:outlineLvl w:val="3"/>
    </w:pPr>
    <w:rPr>
      <w:rFonts w:ascii="Calibri" w:hAnsi="Calibri"/>
      <w:sz w:val="28"/>
      <w:szCs w:val="28"/>
    </w:rPr>
  </w:style>
  <w:style w:type="paragraph" w:styleId="6">
    <w:name w:val="heading 5"/>
    <w:basedOn w:val="5"/>
    <w:next w:val="1"/>
    <w:link w:val="64"/>
    <w:qFormat/>
    <w:uiPriority w:val="0"/>
    <w:pPr>
      <w:outlineLvl w:val="4"/>
    </w:pPr>
    <w:rPr>
      <w:i w:val="0"/>
      <w:iCs/>
      <w:sz w:val="26"/>
      <w:szCs w:val="26"/>
    </w:rPr>
  </w:style>
  <w:style w:type="paragraph" w:styleId="7">
    <w:name w:val="heading 6"/>
    <w:basedOn w:val="8"/>
    <w:next w:val="1"/>
    <w:link w:val="65"/>
    <w:qFormat/>
    <w:uiPriority w:val="0"/>
    <w:pPr>
      <w:numPr>
        <w:ilvl w:val="5"/>
        <w:numId w:val="1"/>
      </w:numPr>
      <w:outlineLvl w:val="5"/>
    </w:pPr>
    <w:rPr>
      <w:i/>
      <w:iCs w:val="0"/>
      <w:szCs w:val="20"/>
    </w:rPr>
  </w:style>
  <w:style w:type="paragraph" w:styleId="9">
    <w:name w:val="heading 7"/>
    <w:basedOn w:val="8"/>
    <w:next w:val="1"/>
    <w:link w:val="66"/>
    <w:qFormat/>
    <w:uiPriority w:val="0"/>
    <w:pPr>
      <w:numPr>
        <w:ilvl w:val="6"/>
        <w:numId w:val="1"/>
      </w:numPr>
      <w:outlineLvl w:val="6"/>
    </w:pPr>
    <w:rPr>
      <w:i/>
      <w:iCs w:val="0"/>
      <w:sz w:val="24"/>
      <w:szCs w:val="24"/>
    </w:rPr>
  </w:style>
  <w:style w:type="paragraph" w:styleId="10">
    <w:name w:val="heading 8"/>
    <w:basedOn w:val="2"/>
    <w:next w:val="1"/>
    <w:link w:val="67"/>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8"/>
    <w:qFormat/>
    <w:uiPriority w:val="0"/>
    <w:pPr>
      <w:numPr>
        <w:ilvl w:val="8"/>
      </w:numPr>
      <w:outlineLvl w:val="8"/>
    </w:pPr>
    <w:rPr>
      <w:rFonts w:ascii="Cambria" w:hAnsi="Cambria"/>
      <w:i w:val="0"/>
      <w:iCs w:val="0"/>
      <w:sz w:val="20"/>
      <w:szCs w:val="20"/>
    </w:rPr>
  </w:style>
  <w:style w:type="character" w:default="1" w:styleId="55">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ilvl w:val="0"/>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Light List Accent 3"/>
    <w:basedOn w:val="49"/>
    <w:qFormat/>
    <w:uiPriority w:val="61"/>
    <w:rPr>
      <w:rFonts w:asciiTheme="minorHAnsi" w:hAnsiTheme="minorHAnsi" w:eastAsiaTheme="minorEastAsia" w:cstheme="minorBidi"/>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4">
    <w:name w:val="Medium Grid 3 Accent 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styleId="56">
    <w:name w:val="page number"/>
    <w:qFormat/>
    <w:uiPriority w:val="99"/>
    <w:rPr>
      <w:rFonts w:cs="Times New Roman"/>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Char"/>
    <w:link w:val="2"/>
    <w:qFormat/>
    <w:locked/>
    <w:uiPriority w:val="0"/>
    <w:rPr>
      <w:rFonts w:ascii="Cambria" w:hAnsi="Cambria"/>
      <w:b/>
      <w:bCs/>
      <w:kern w:val="32"/>
      <w:sz w:val="32"/>
      <w:szCs w:val="32"/>
      <w:lang w:val="en-GB" w:eastAsia="ja-JP"/>
    </w:rPr>
  </w:style>
  <w:style w:type="character" w:customStyle="1" w:styleId="61">
    <w:name w:val="标题 2 Char"/>
    <w:link w:val="3"/>
    <w:qFormat/>
    <w:locked/>
    <w:uiPriority w:val="0"/>
    <w:rPr>
      <w:rFonts w:eastAsia="time"/>
      <w:b/>
      <w:bCs/>
      <w:iCs/>
      <w:sz w:val="28"/>
      <w:szCs w:val="28"/>
      <w:lang w:val="en-GB" w:eastAsia="ja-JP"/>
    </w:rPr>
  </w:style>
  <w:style w:type="character" w:customStyle="1" w:styleId="62">
    <w:name w:val="标题 3 Char"/>
    <w:link w:val="4"/>
    <w:qFormat/>
    <w:locked/>
    <w:uiPriority w:val="0"/>
    <w:rPr>
      <w:rFonts w:eastAsia="time"/>
      <w:b/>
      <w:bCs/>
      <w:i/>
      <w:sz w:val="26"/>
      <w:szCs w:val="26"/>
      <w:lang w:val="en-GB" w:eastAsia="ja-JP"/>
    </w:rPr>
  </w:style>
  <w:style w:type="character" w:customStyle="1" w:styleId="63">
    <w:name w:val="标题 4 Char"/>
    <w:link w:val="5"/>
    <w:qFormat/>
    <w:locked/>
    <w:uiPriority w:val="0"/>
    <w:rPr>
      <w:rFonts w:ascii="Calibri" w:hAnsi="Calibri" w:eastAsia="time"/>
      <w:b/>
      <w:bCs/>
      <w:i/>
      <w:sz w:val="28"/>
      <w:szCs w:val="28"/>
      <w:lang w:val="en-GB" w:eastAsia="ja-JP"/>
    </w:rPr>
  </w:style>
  <w:style w:type="character" w:customStyle="1" w:styleId="64">
    <w:name w:val="标题 5 Char"/>
    <w:link w:val="6"/>
    <w:qFormat/>
    <w:locked/>
    <w:uiPriority w:val="0"/>
    <w:rPr>
      <w:rFonts w:ascii="Calibri" w:hAnsi="Calibri" w:eastAsia="time"/>
      <w:b/>
      <w:bCs/>
      <w:iCs/>
      <w:sz w:val="26"/>
      <w:szCs w:val="26"/>
      <w:lang w:val="en-GB" w:eastAsia="ja-JP"/>
    </w:rPr>
  </w:style>
  <w:style w:type="character" w:customStyle="1" w:styleId="65">
    <w:name w:val="标题 6 Char"/>
    <w:link w:val="7"/>
    <w:qFormat/>
    <w:locked/>
    <w:uiPriority w:val="0"/>
    <w:rPr>
      <w:rFonts w:ascii="Calibri" w:hAnsi="Calibri" w:eastAsia="time"/>
      <w:b/>
      <w:bCs/>
      <w:i/>
      <w:lang w:val="en-GB" w:eastAsia="ja-JP"/>
    </w:rPr>
  </w:style>
  <w:style w:type="character" w:customStyle="1" w:styleId="66">
    <w:name w:val="标题 7 Char"/>
    <w:link w:val="9"/>
    <w:qFormat/>
    <w:locked/>
    <w:uiPriority w:val="0"/>
    <w:rPr>
      <w:rFonts w:ascii="Calibri" w:hAnsi="Calibri" w:eastAsia="time"/>
      <w:i/>
      <w:sz w:val="24"/>
      <w:szCs w:val="24"/>
      <w:lang w:val="en-GB" w:eastAsia="ja-JP"/>
    </w:rPr>
  </w:style>
  <w:style w:type="character" w:customStyle="1" w:styleId="67">
    <w:name w:val="标题 8 Char"/>
    <w:link w:val="10"/>
    <w:qFormat/>
    <w:locked/>
    <w:uiPriority w:val="0"/>
    <w:rPr>
      <w:rFonts w:ascii="Calibri" w:hAnsi="Calibri"/>
      <w:i/>
      <w:iCs/>
      <w:sz w:val="24"/>
      <w:szCs w:val="24"/>
      <w:lang w:val="en-GB" w:eastAsia="ja-JP"/>
    </w:rPr>
  </w:style>
  <w:style w:type="character" w:customStyle="1" w:styleId="68">
    <w:name w:val="标题 9 Char"/>
    <w:link w:val="11"/>
    <w:qFormat/>
    <w:locked/>
    <w:uiPriority w:val="0"/>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Char"/>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Char"/>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Char"/>
    <w:link w:val="32"/>
    <w:qFormat/>
    <w:locked/>
    <w:uiPriority w:val="99"/>
    <w:rPr>
      <w:rFonts w:cs="Times New Roman"/>
      <w:lang w:val="en-GB" w:eastAsia="en-US" w:bidi="ar-SA"/>
    </w:rPr>
  </w:style>
  <w:style w:type="character" w:customStyle="1" w:styleId="107">
    <w:name w:val="正文文本 3 Char"/>
    <w:link w:val="31"/>
    <w:semiHidden/>
    <w:qFormat/>
    <w:locked/>
    <w:uiPriority w:val="99"/>
    <w:rPr>
      <w:rFonts w:ascii="Times New Roman" w:hAnsi="Times New Roman" w:cs="Times New Roman"/>
      <w:sz w:val="16"/>
      <w:szCs w:val="16"/>
      <w:lang w:val="en-GB" w:eastAsia="ja-JP"/>
    </w:rPr>
  </w:style>
  <w:style w:type="character" w:customStyle="1" w:styleId="108">
    <w:name w:val="题注 Char"/>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Char"/>
    <w:link w:val="30"/>
    <w:qFormat/>
    <w:locked/>
    <w:uiPriority w:val="0"/>
    <w:rPr>
      <w:rFonts w:ascii="Times New Roman" w:hAnsi="Times New Roman" w:cs="Times New Roman"/>
      <w:sz w:val="20"/>
      <w:szCs w:val="20"/>
      <w:lang w:val="en-GB" w:eastAsia="ja-JP"/>
    </w:rPr>
  </w:style>
  <w:style w:type="character" w:customStyle="1" w:styleId="112">
    <w:name w:val="批注主题 Char"/>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Char"/>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Char"/>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Char"/>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出段落 Char"/>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Char"/>
    <w:basedOn w:val="55"/>
    <w:link w:val="47"/>
    <w:qFormat/>
    <w:uiPriority w:val="10"/>
    <w:rPr>
      <w:rFonts w:asciiTheme="majorHAnsi" w:hAnsiTheme="majorHAnsi" w:cstheme="majorBidi"/>
      <w:b/>
      <w:bCs/>
      <w:sz w:val="32"/>
      <w:szCs w:val="32"/>
      <w:lang w:val="en-GB" w:eastAsia="ja-JP"/>
    </w:rPr>
  </w:style>
  <w:style w:type="character" w:customStyle="1" w:styleId="148">
    <w:name w:val="副标题 Char"/>
    <w:basedOn w:val="55"/>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5"/>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style>
  <w:style w:type="table" w:customStyle="1" w:styleId="154">
    <w:name w:val="无格式表格 41"/>
    <w:basedOn w:val="49"/>
    <w:qFormat/>
    <w:locked/>
    <w:uiPriority w:val="99"/>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5">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56">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7">
    <w:name w:val="Placeholder Text"/>
    <w:basedOn w:val="55"/>
    <w:qFormat/>
    <w:uiPriority w:val="67"/>
    <w:rPr>
      <w:color w:val="808080"/>
    </w:rPr>
  </w:style>
  <w:style w:type="table" w:customStyle="1" w:styleId="158">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9">
    <w:name w:val="jlqj4b"/>
    <w:basedOn w:val="55"/>
    <w:qFormat/>
    <w:uiPriority w:val="0"/>
  </w:style>
  <w:style w:type="character" w:customStyle="1" w:styleId="160">
    <w:name w:val="fszzbb"/>
    <w:basedOn w:val="55"/>
    <w:qFormat/>
    <w:uiPriority w:val="0"/>
  </w:style>
  <w:style w:type="table" w:customStyle="1" w:styleId="161">
    <w:name w:val="中等深浅底纹 1 - 强调文字颜色 11"/>
    <w:basedOn w:val="49"/>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62">
    <w:name w:val="中等深浅网格 3 - 强调文字颜色 1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7C9CF-AC4C-4AAD-884C-3F31BE09654B}">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4</Pages>
  <Words>1366</Words>
  <Characters>6694</Characters>
  <Lines>284</Lines>
  <Paragraphs>80</Paragraphs>
  <TotalTime>1</TotalTime>
  <ScaleCrop>false</ScaleCrop>
  <LinksUpToDate>false</LinksUpToDate>
  <CharactersWithSpaces>8029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2021-08-06T02:44:00Z</dcterms:created>
  <dc:creator>CMCC</dc:creator>
  <cp:lastModifiedBy>CMCC-hulijie</cp:lastModifiedBy>
  <cp:lastPrinted>2021-11-04T10:32:00Z</cp:lastPrinted>
  <dcterms:modified xsi:type="dcterms:W3CDTF">2023-02-16T10:48:10Z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56AB651CE9254F829CD0FE0D8E225D8E</vt:lpwstr>
  </property>
</Properties>
</file>